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8"/>
          <w:szCs w:val="28"/>
        </w:rPr>
        <w:t xml:space="preserve">Castellan Precision Instruments, Inc.</w:t>
      </w:r>
    </w:p>
    <w:p>
      <w:pPr>
        <w:spacing w:after="60" w:before="60"/>
      </w:pPr>
      <w:r>
        <w:rPr>
          <w:b/>
          <w:bCs/>
          <w:color w:val="1F3864"/>
          <w:sz w:val="24"/>
          <w:szCs w:val="24"/>
        </w:rPr>
        <w:t xml:space="preserve">Fraud Brainstorming Session — Planning</w:t>
      </w:r>
    </w:p>
    <w:p>
      <w:pPr>
        <w:spacing w:after="200"/>
      </w:pPr>
      <w:r>
        <w:rPr>
          <w:i/>
          <w:iCs/>
          <w:color w:val="595959"/>
          <w:sz w:val="20"/>
          <w:szCs w:val="20"/>
        </w:rPr>
        <w:t xml:space="preserve">Raw meeting notes, not yet formatted into the memo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shd w:fill="F2F2F2" w:val="clear"/>
          </w:tcPr>
          <w:p>
            <w:r>
              <w:rPr>
                <w:b/>
                <w:bCs/>
                <w:sz w:val="20"/>
                <w:szCs w:val="20"/>
              </w:rPr>
              <w:t xml:space="preserve">Session type</w:t>
            </w:r>
          </w:p>
        </w:tc>
        <w:tc>
          <w:tcPr>
            <w:tcW w:type="dxa" w:w="7500"/>
          </w:tcPr>
          <w:p>
            <w:r>
              <w:rPr>
                <w:sz w:val="20"/>
                <w:szCs w:val="20"/>
              </w:rPr>
              <w:t xml:space="preserve">Planning</w:t>
            </w:r>
          </w:p>
        </w:tc>
      </w:tr>
      <w:tr>
        <w:tc>
          <w:tcPr>
            <w:tcW w:type="dxa" w:w="2500"/>
            <w:shd w:fill="F2F2F2" w:val="clear"/>
          </w:tcPr>
          <w:p>
            <w:r>
              <w:rPr>
                <w:b/>
                <w:bCs/>
                <w:sz w:val="20"/>
                <w:szCs w:val="20"/>
              </w:rPr>
              <w:t xml:space="preserve">Date</w:t>
            </w:r>
          </w:p>
        </w:tc>
        <w:tc>
          <w:tcPr>
            <w:tcW w:type="dxa" w:w="7500"/>
          </w:tcPr>
          <w:p>
            <w:r>
              <w:rPr>
                <w:sz w:val="20"/>
                <w:szCs w:val="20"/>
              </w:rPr>
              <w:t xml:space="preserve">October 6, 2025</w:t>
            </w:r>
          </w:p>
        </w:tc>
      </w:tr>
      <w:tr>
        <w:tc>
          <w:tcPr>
            <w:tcW w:type="dxa" w:w="2500"/>
            <w:shd w:fill="F2F2F2" w:val="clear"/>
          </w:tcPr>
          <w:p>
            <w:r>
              <w:rPr>
                <w:b/>
                <w:bCs/>
                <w:sz w:val="20"/>
                <w:szCs w:val="20"/>
              </w:rPr>
              <w:t xml:space="preserve">Attendees</w:t>
            </w:r>
          </w:p>
        </w:tc>
        <w:tc>
          <w:tcPr>
            <w:tcW w:type="dxa" w:w="7500"/>
          </w:tcPr>
          <w:p>
            <w:r>
              <w:rPr>
                <w:sz w:val="20"/>
                <w:szCs w:val="20"/>
              </w:rPr>
              <w:t xml:space="preserve">Marcus Webb (Partner), Aisha Rahman (Manager), Tomas Novak (Senior)</w:t>
            </w:r>
          </w:p>
        </w:tc>
      </w:tr>
    </w:tbl>
    <w:p>
      <w:pPr>
        <w:spacing w:after="100" w:before="240"/>
      </w:pPr>
      <w:r>
        <w:rPr>
          <w:b/>
          <w:bCs/>
          <w:color w:val="1F3864"/>
          <w:sz w:val="22"/>
          <w:szCs w:val="22"/>
        </w:rPr>
        <w:t xml:space="preserve">General</w:t>
      </w:r>
    </w:p>
    <w:p>
      <w:pPr>
        <w:pStyle w:val="ListParagraph"/>
        <w:numPr>
          <w:ilvl w:val="0"/>
          <w:numId w:val="1"/>
        </w:numPr>
        <w:spacing w:after="80"/>
      </w:pPr>
      <w:r>
        <w:rPr>
          <w:sz w:val="20"/>
          <w:szCs w:val="20"/>
        </w:rPr>
        <w:t xml:space="preserve">Marcus reminded the team to set aside any prior beliefs about management's honesty and integrity for purposes of this brainstorming session, consistent with firm methodology.</w:t>
      </w:r>
    </w:p>
    <w:p>
      <w:pPr>
        <w:spacing w:after="100" w:before="240"/>
      </w:pPr>
      <w:r>
        <w:rPr>
          <w:b/>
          <w:bCs/>
          <w:color w:val="1F3864"/>
          <w:sz w:val="22"/>
          <w:szCs w:val="22"/>
        </w:rPr>
        <w:t xml:space="preserve">Fraudulent financial reporting / revenue</w:t>
      </w:r>
    </w:p>
    <w:p>
      <w:pPr>
        <w:pStyle w:val="ListParagraph"/>
        <w:numPr>
          <w:ilvl w:val="0"/>
          <w:numId w:val="1"/>
        </w:numPr>
        <w:spacing w:after="80"/>
      </w:pPr>
      <w:r>
        <w:rPr>
          <w:sz w:val="20"/>
          <w:szCs w:val="20"/>
        </w:rPr>
        <w:t xml:space="preserve">Reviewed revenue streams: essentially all revenue is single-element — finished precision instruments shipped FOB shipping point, with no post-shipment service or installation obligations, no consignment arrangements, and no bill-and-hold arrangements identified this year.</w:t>
      </w:r>
    </w:p>
    <w:p>
      <w:pPr>
        <w:pStyle w:val="ListParagraph"/>
        <w:numPr>
          <w:ilvl w:val="0"/>
          <w:numId w:val="1"/>
        </w:numPr>
        <w:spacing w:after="80"/>
      </w:pPr>
      <w:r>
        <w:rPr>
          <w:sz w:val="20"/>
          <w:szCs w:val="20"/>
        </w:rPr>
        <w:t xml:space="preserve">Given that fact pattern, team concluded the revenue-recognition fraud-risk presumption is rebutted for this specific revenue stream — no judgment-heavy allocation, no multi-element bundling, control transfers cleanly at shipment.</w:t>
      </w:r>
    </w:p>
    <w:p>
      <w:pPr>
        <w:spacing w:after="100" w:before="240"/>
      </w:pPr>
      <w:r>
        <w:rPr>
          <w:b/>
          <w:bCs/>
          <w:color w:val="1F3864"/>
          <w:sz w:val="22"/>
          <w:szCs w:val="22"/>
        </w:rPr>
        <w:t xml:space="preserve">Misappropriation of assets</w:t>
      </w:r>
    </w:p>
    <w:p>
      <w:pPr>
        <w:pStyle w:val="ListParagraph"/>
        <w:numPr>
          <w:ilvl w:val="0"/>
          <w:numId w:val="1"/>
        </w:numPr>
        <w:spacing w:after="80"/>
      </w:pPr>
      <w:r>
        <w:rPr>
          <w:sz w:val="20"/>
          <w:szCs w:val="20"/>
        </w:rPr>
        <w:t xml:space="preserve">Standard inventory and cash controls reviewed at a high level; nothing unusual noted. Detailed testing to follow in fieldwork.</w:t>
      </w:r>
    </w:p>
    <w:p>
      <w:pPr>
        <w:spacing w:after="100" w:before="240"/>
      </w:pPr>
      <w:r>
        <w:rPr>
          <w:b/>
          <w:bCs/>
          <w:color w:val="1F3864"/>
          <w:sz w:val="22"/>
          <w:szCs w:val="22"/>
        </w:rPr>
        <w:t xml:space="preserve">Management override of controls</w:t>
      </w:r>
    </w:p>
    <w:p>
      <w:pPr>
        <w:pStyle w:val="ListParagraph"/>
        <w:numPr>
          <w:ilvl w:val="0"/>
          <w:numId w:val="1"/>
        </w:numPr>
        <w:spacing w:after="80"/>
      </w:pPr>
      <w:r>
        <w:rPr>
          <w:sz w:val="20"/>
          <w:szCs w:val="20"/>
        </w:rPr>
        <w:t xml:space="preserve">Per firm methodology, reminded team that override is always presumed present regardless of the control environment. Reviewed manual journal entry approval process — dual sign-off required over $25,000; no instances of override noted to date.</w:t>
      </w:r>
    </w:p>
    <w:p>
      <w:pPr>
        <w:spacing w:after="100" w:before="240"/>
      </w:pPr>
      <w:r>
        <w:rPr>
          <w:b/>
          <w:bCs/>
          <w:color w:val="1F3864"/>
          <w:sz w:val="22"/>
          <w:szCs w:val="22"/>
        </w:rPr>
        <w:t xml:space="preserve">Fraud triangle — sales incentive compensation</w:t>
      </w:r>
    </w:p>
    <w:p>
      <w:pPr>
        <w:pStyle w:val="ListParagraph"/>
        <w:numPr>
          <w:ilvl w:val="0"/>
          <w:numId w:val="1"/>
        </w:numPr>
        <w:spacing w:after="80"/>
      </w:pPr>
      <w:r>
        <w:rPr>
          <w:sz w:val="20"/>
          <w:szCs w:val="20"/>
        </w:rPr>
        <w:t xml:space="preserve">Incentive/pressure: regional sales managers' bonuses are tied to quarterly bookings; new CFO (started Q2 2025) has emphasized "hitting the number" in recent town halls.</w:t>
      </w:r>
    </w:p>
    <w:p>
      <w:pPr>
        <w:pStyle w:val="ListParagraph"/>
        <w:numPr>
          <w:ilvl w:val="0"/>
          <w:numId w:val="1"/>
        </w:numPr>
        <w:spacing w:after="80"/>
      </w:pPr>
      <w:r>
        <w:rPr>
          <w:sz w:val="20"/>
          <w:szCs w:val="20"/>
        </w:rPr>
        <w:t xml:space="preserve">Opportunity: regional sales managers can approve customer credit memos up to $50,000 without a second signature.</w:t>
      </w:r>
    </w:p>
    <w:p>
      <w:pPr>
        <w:pStyle w:val="ListParagraph"/>
        <w:numPr>
          <w:ilvl w:val="0"/>
          <w:numId w:val="1"/>
        </w:numPr>
        <w:spacing w:after="80"/>
      </w:pPr>
      <w:r>
        <w:rPr>
          <w:sz w:val="20"/>
          <w:szCs w:val="20"/>
        </w:rPr>
        <w:t xml:space="preserve">Rationalization: some tenured sales staff have expressed frustration that targets increased significantly under the new CFO, which could create rationalization for cutting corners.</w:t>
      </w:r>
    </w:p>
    <w:p>
      <w:pPr>
        <w:spacing w:after="100" w:before="240"/>
      </w:pPr>
      <w:r>
        <w:rPr>
          <w:b/>
          <w:bCs/>
          <w:color w:val="1F3864"/>
          <w:sz w:val="22"/>
          <w:szCs w:val="22"/>
        </w:rPr>
        <w:t xml:space="preserve">IT / cyber / EUC</w:t>
      </w:r>
    </w:p>
    <w:p>
      <w:pPr>
        <w:pStyle w:val="ListParagraph"/>
        <w:numPr>
          <w:ilvl w:val="0"/>
          <w:numId w:val="1"/>
        </w:numPr>
        <w:spacing w:after="80"/>
      </w:pPr>
      <w:r>
        <w:rPr>
          <w:sz w:val="20"/>
          <w:szCs w:val="20"/>
        </w:rPr>
        <w:t xml:space="preserve">Reviewed IT general controls testing scope for the ERP system (SAP Business One); no unusual access findings from the preliminary walkthrough.</w:t>
      </w:r>
    </w:p>
    <w:p>
      <w:pPr>
        <w:pStyle w:val="ListParagraph"/>
        <w:numPr>
          <w:ilvl w:val="0"/>
          <w:numId w:val="1"/>
        </w:numPr>
        <w:spacing w:after="80"/>
      </w:pPr>
      <w:r>
        <w:rPr>
          <w:sz w:val="20"/>
          <w:szCs w:val="20"/>
        </w:rPr>
        <w:t xml:space="preserve">Noted the warranty reserve calculation is maintained in a standalone spreadsheet; agreed this will be included in this year's IT general controls / EUC review scope.</w:t>
      </w:r>
    </w:p>
    <w:p>
      <w:pPr>
        <w:spacing w:after="100" w:before="240"/>
      </w:pPr>
      <w:r>
        <w:rPr>
          <w:b/>
          <w:bCs/>
          <w:color w:val="1F3864"/>
          <w:sz w:val="22"/>
          <w:szCs w:val="22"/>
        </w:rPr>
        <w:t xml:space="preserve">Unpredictability</w:t>
      </w:r>
    </w:p>
    <w:p>
      <w:pPr>
        <w:pStyle w:val="ListParagraph"/>
        <w:numPr>
          <w:ilvl w:val="0"/>
          <w:numId w:val="1"/>
        </w:numPr>
        <w:spacing w:after="80"/>
      </w:pPr>
      <w:r>
        <w:rPr>
          <w:sz w:val="20"/>
          <w:szCs w:val="20"/>
        </w:rPr>
        <w:t xml:space="preserve">Given this is our first year on the engagement, agreed to perform an unannounced test of inventory counts at the main facility rather than providing advance notice, which appears to have been the predecessor's past practice.</w:t>
      </w:r>
    </w:p>
    <w:p>
      <w:pPr>
        <w:spacing w:after="100" w:before="240"/>
      </w:pPr>
      <w:r>
        <w:rPr>
          <w:b/>
          <w:bCs/>
          <w:color w:val="1F3864"/>
          <w:sz w:val="22"/>
          <w:szCs w:val="22"/>
        </w:rPr>
        <w:t xml:space="preserve">Related parties / significant unusual transactions</w:t>
      </w:r>
    </w:p>
    <w:p>
      <w:pPr>
        <w:pStyle w:val="ListParagraph"/>
        <w:numPr>
          <w:ilvl w:val="0"/>
          <w:numId w:val="1"/>
        </w:numPr>
        <w:spacing w:after="80"/>
      </w:pPr>
      <w:r>
        <w:rPr>
          <w:sz w:val="20"/>
          <w:szCs w:val="20"/>
        </w:rPr>
        <w:t xml:space="preserve">Inquired of management regarding related-party transactions — none identified beyond standard officer compensation arrangements. No significant unusual transactions noted in year-to-date activity.</w:t>
      </w:r>
    </w:p>
    <w:p>
      <w:pPr>
        <w:spacing w:after="100" w:before="240"/>
      </w:pPr>
      <w:r>
        <w:rPr>
          <w:b/>
          <w:bCs/>
          <w:color w:val="1F3864"/>
          <w:sz w:val="22"/>
          <w:szCs w:val="22"/>
        </w:rPr>
        <w:t xml:space="preserve">Management estimates</w:t>
      </w:r>
    </w:p>
    <w:p>
      <w:pPr>
        <w:pStyle w:val="ListParagraph"/>
        <w:numPr>
          <w:ilvl w:val="0"/>
          <w:numId w:val="1"/>
        </w:numPr>
        <w:spacing w:after="80"/>
      </w:pPr>
      <w:r>
        <w:rPr>
          <w:sz w:val="20"/>
          <w:szCs w:val="20"/>
        </w:rPr>
        <w:t xml:space="preserve">Discussed key estimates: warranty reserve methodology and inventory obsolescence reserve. This ties directly to the predecessor auditor communication item below regarding a disputed warranty reserve adjustment.</w:t>
      </w:r>
    </w:p>
    <w:p>
      <w:pPr>
        <w:spacing w:after="100" w:before="240"/>
      </w:pPr>
      <w:r>
        <w:rPr>
          <w:b/>
          <w:bCs/>
          <w:color w:val="1F3864"/>
          <w:sz w:val="22"/>
          <w:szCs w:val="22"/>
        </w:rPr>
        <w:t xml:space="preserve">Predecessor auditor communication (first-year engagement)</w:t>
      </w:r>
    </w:p>
    <w:p>
      <w:pPr>
        <w:pStyle w:val="ListParagraph"/>
        <w:numPr>
          <w:ilvl w:val="0"/>
          <w:numId w:val="1"/>
        </w:numPr>
        <w:spacing w:after="80"/>
      </w:pPr>
      <w:r>
        <w:rPr>
          <w:sz w:val="20"/>
          <w:szCs w:val="20"/>
        </w:rPr>
        <w:t xml:space="preserve">Per AS 2610, the engagement team communicated with the predecessor auditor, Whitmore &amp; Associates LLP. Whitmore confirmed no disagreements specifically characterized as fraud-related, but noted they had proposed a $2.1 million increase to the warranty reserve in their final year (FY2024), which management declined to book, characterizing the amount as immaterial. Whitmore did not modify their opinion.</w:t>
      </w:r>
    </w:p>
    <w:p>
      <w:pPr>
        <w:pStyle w:val="ListParagraph"/>
        <w:numPr>
          <w:ilvl w:val="0"/>
          <w:numId w:val="1"/>
        </w:numPr>
        <w:spacing w:after="80"/>
      </w:pPr>
      <w:r>
        <w:rPr>
          <w:sz w:val="20"/>
          <w:szCs w:val="20"/>
        </w:rPr>
        <w:t xml:space="preserve">Team discussed whether the declined adjustment reflects a pattern of management bias toward understating the warranty reserve, given the estimate is inherently judgmental.</w:t>
      </w:r>
    </w:p>
    <w:p>
      <w:pPr>
        <w:spacing w:after="100" w:before="240"/>
      </w:pPr>
      <w:r>
        <w:rPr>
          <w:b/>
          <w:bCs/>
          <w:color w:val="1F3864"/>
          <w:sz w:val="22"/>
          <w:szCs w:val="22"/>
        </w:rPr>
        <w:t xml:space="preserve">Opening balance fraud risk</w:t>
      </w:r>
    </w:p>
    <w:p>
      <w:pPr>
        <w:pStyle w:val="ListParagraph"/>
        <w:numPr>
          <w:ilvl w:val="0"/>
          <w:numId w:val="1"/>
        </w:numPr>
        <w:spacing w:after="80"/>
      </w:pPr>
      <w:r>
        <w:rPr>
          <w:sz w:val="20"/>
          <w:szCs w:val="20"/>
        </w:rPr>
        <w:t xml:space="preserve">Given the unadjusted difference not booked by the predecessor, agreed that opening retained earnings and the warranty reserve opening balance warrant extended substantive testing this year rather than being accepted solely on the basis of the predecessor's clearance.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2026-09-12T15:51:10.510Z</dcterms:created>
  <dcterms:modified xsi:type="dcterms:W3CDTF">2026-09-12T15:51:10.519Z</dcterms:modified>
</cp:coreProperties>
</file>

<file path=docProps/custom.xml><?xml version="1.0" encoding="utf-8"?>
<Properties xmlns="http://schemas.openxmlformats.org/officeDocument/2006/custom-properties" xmlns:vt="http://schemas.openxmlformats.org/officeDocument/2006/docPropsVTypes"/>
</file>