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6"/>
        </w:rPr>
        <w:t>DRAFT — Open Items Pending</w:t>
      </w:r>
    </w:p>
    <w:p>
      <w:r>
        <w:rPr>
          <w:b/>
          <w:color w:val="1F3864"/>
          <w:sz w:val="36"/>
        </w:rPr>
        <w:t>Castellan Precision Instruments, Inc.</w:t>
      </w:r>
    </w:p>
    <w:p>
      <w:r>
        <w:rPr>
          <w:b/>
          <w:sz w:val="26"/>
        </w:rPr>
        <w:t>Fraud Risk Brainstorming Memo — Fiscal Year Ended December 31, 2025</w:t>
      </w:r>
    </w:p>
    <w:p>
      <w:r>
        <w:rPr>
          <w:b w:val="0"/>
          <w:i/>
          <w:color w:val="595959"/>
          <w:sz w:val="19"/>
        </w:rPr>
        <w:t>Framework: PCAOB  |  Complexity tier: single-entity  |  Public-interest entity: Yes  |  Engagement year: first-year</w:t>
      </w:r>
    </w:p>
    <w:p>
      <w:pPr>
        <w:spacing w:before="240" w:after="80"/>
      </w:pPr>
      <w:r>
        <w:rPr>
          <w:b/>
          <w:color w:val="1F3864"/>
          <w:sz w:val="24"/>
        </w:rPr>
        <w:t>Brainstorming Session(s) Logged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Session</w:t>
            </w:r>
          </w:p>
        </w:tc>
        <w:tc>
          <w:tcPr>
            <w:tcW w:type="dxa" w:w="2160"/>
          </w:tcPr>
          <w:p>
            <w:r>
              <w:t>Type</w:t>
            </w:r>
          </w:p>
        </w:tc>
        <w:tc>
          <w:tcPr>
            <w:tcW w:type="dxa" w:w="2160"/>
          </w:tcPr>
          <w:p>
            <w:r>
              <w:t>Date</w:t>
            </w:r>
          </w:p>
        </w:tc>
        <w:tc>
          <w:tcPr>
            <w:tcW w:type="dxa" w:w="2160"/>
          </w:tcPr>
          <w:p>
            <w:r>
              <w:t>Attendees</w:t>
            </w:r>
          </w:p>
        </w:tc>
      </w:tr>
      <w:tr>
        <w:tc>
          <w:tcPr>
            <w:tcW w:type="dxa" w:w="2160"/>
          </w:tcPr>
          <w:p>
            <w:r>
              <w:t>S1</w:t>
            </w:r>
          </w:p>
        </w:tc>
        <w:tc>
          <w:tcPr>
            <w:tcW w:type="dxa" w:w="2160"/>
          </w:tcPr>
          <w:p>
            <w:r>
              <w:t>planning</w:t>
            </w:r>
          </w:p>
        </w:tc>
        <w:tc>
          <w:tcPr>
            <w:tcW w:type="dxa" w:w="2160"/>
          </w:tcPr>
          <w:p>
            <w:r>
              <w:t>2025-10-06</w:t>
            </w:r>
          </w:p>
        </w:tc>
        <w:tc>
          <w:tcPr>
            <w:tcW w:type="dxa" w:w="2160"/>
          </w:tcPr>
          <w:p>
            <w:r>
              <w:t>Webb (Partner); Rahman (Manager); Novak (Senior)</w:t>
            </w:r>
          </w:p>
        </w:tc>
      </w:tr>
      <w:tr>
        <w:tc>
          <w:tcPr>
            <w:tcW w:type="dxa" w:w="2160"/>
          </w:tcPr>
          <w:p>
            <w:r>
              <w:t>S2</w:t>
            </w:r>
          </w:p>
        </w:tc>
        <w:tc>
          <w:tcPr>
            <w:tcW w:type="dxa" w:w="2160"/>
          </w:tcPr>
          <w:p>
            <w:r>
              <w:t>interim</w:t>
            </w:r>
          </w:p>
        </w:tc>
        <w:tc>
          <w:tcPr>
            <w:tcW w:type="dxa" w:w="2160"/>
          </w:tcPr>
          <w:p>
            <w:r>
              <w:t>2025-12-15</w:t>
            </w:r>
          </w:p>
        </w:tc>
        <w:tc>
          <w:tcPr>
            <w:tcW w:type="dxa" w:w="2160"/>
          </w:tcPr>
          <w:p>
            <w:r>
              <w:t>Rahman (Manager); Novak (Senior)</w:t>
            </w:r>
          </w:p>
        </w:tc>
      </w:tr>
      <w:tr>
        <w:tc>
          <w:tcPr>
            <w:tcW w:type="dxa" w:w="2160"/>
          </w:tcPr>
          <w:p>
            <w:r>
              <w:t>S3</w:t>
            </w:r>
          </w:p>
        </w:tc>
        <w:tc>
          <w:tcPr>
            <w:tcW w:type="dxa" w:w="2160"/>
          </w:tcPr>
          <w:p>
            <w:r>
              <w:t>ad-hoc (Possible backdating of Q4 shipping documentation flagged by internal audit follow-up)</w:t>
            </w:r>
          </w:p>
        </w:tc>
        <w:tc>
          <w:tcPr>
            <w:tcW w:type="dxa" w:w="2160"/>
          </w:tcPr>
          <w:p>
            <w:r>
              <w:t>2026-01-09</w:t>
            </w:r>
          </w:p>
        </w:tc>
        <w:tc>
          <w:tcPr>
            <w:tcW w:type="dxa" w:w="2160"/>
          </w:tcPr>
          <w:p>
            <w:r/>
          </w:p>
        </w:tc>
      </w:tr>
    </w:tbl>
    <w:p>
      <w:r>
        <w:rPr>
          <w:b w:val="0"/>
          <w:i/>
          <w:color w:val="595959"/>
          <w:sz w:val="18"/>
        </w:rPr>
        <w:t>Documentation requirement: AS 2401.84.</w:t>
      </w:r>
    </w:p>
    <w:p>
      <w:r>
        <w:rPr>
          <w:b w:val="0"/>
          <w:i/>
          <w:color w:val="595959"/>
          <w:sz w:val="18"/>
        </w:rPr>
        <w:t>This framework expects the engagement partner to participate directly in each required session (see attendee lists above).</w:t>
      </w:r>
    </w:p>
    <w:p>
      <w:pPr>
        <w:spacing w:before="240" w:after="80"/>
      </w:pPr>
      <w:r>
        <w:rPr>
          <w:b/>
          <w:color w:val="1F3864"/>
          <w:sz w:val="28"/>
        </w:rPr>
        <w:t>Framing</w:t>
      </w:r>
    </w:p>
    <w:p>
      <w:r>
        <w:rPr>
          <w:b/>
          <w:sz w:val="21"/>
        </w:rPr>
        <w:t>A1 — Evidenced</w:t>
      </w:r>
    </w:p>
    <w:p>
      <w:r>
        <w:rPr>
          <w:b w:val="0"/>
          <w:i/>
          <w:color w:val="595959"/>
          <w:sz w:val="18"/>
        </w:rPr>
        <w:t>Explicit reminder to set aside prior beliefs about management's honesty and integrity (AS 2401.05, .52)</w:t>
      </w:r>
    </w:p>
    <w:p>
      <w:r>
        <w:rPr>
          <w:b w:val="0"/>
          <w:i w:val="0"/>
          <w:sz w:val="20"/>
        </w:rPr>
        <w:t>“Marcus reminded the team to set aside any prior beliefs about management's honesty and integrity for purposes of this brainstorming session.”  — S1</w:t>
      </w:r>
    </w:p>
    <w:p>
      <w:r>
        <w:rPr>
          <w:b/>
          <w:sz w:val="21"/>
        </w:rPr>
        <w:t>A2 — Evidenced</w:t>
      </w:r>
    </w:p>
    <w:p>
      <w:r>
        <w:rPr>
          <w:b w:val="0"/>
          <w:i/>
          <w:color w:val="595959"/>
          <w:sz w:val="18"/>
        </w:rPr>
        <w:t>Susceptibility to fraudulent financial reporting (where/how)</w:t>
      </w:r>
    </w:p>
    <w:p>
      <w:r>
        <w:rPr>
          <w:b w:val="0"/>
          <w:i w:val="0"/>
          <w:sz w:val="20"/>
        </w:rPr>
        <w:t>“Reviewed revenue streams: essentially all revenue is single-element — finished precision instruments shipped FOB shipping point, with no post-shipment service or installation obligations.”  — S1</w:t>
      </w:r>
    </w:p>
    <w:p>
      <w:r>
        <w:rPr>
          <w:b/>
          <w:sz w:val="21"/>
        </w:rPr>
        <w:t>A3 — Partially evidenced</w:t>
      </w:r>
    </w:p>
    <w:p>
      <w:r>
        <w:rPr>
          <w:b w:val="0"/>
          <w:i/>
          <w:color w:val="595959"/>
          <w:sz w:val="18"/>
        </w:rPr>
        <w:t>Susceptibility to misappropriation of assets (where/how)</w:t>
      </w:r>
    </w:p>
    <w:p>
      <w:r>
        <w:rPr>
          <w:b w:val="0"/>
          <w:i w:val="0"/>
          <w:sz w:val="20"/>
        </w:rPr>
        <w:t>“Standard inventory and cash controls reviewed at a high level; nothing unusual noted. Detailed testing to follow in fieldwork.”  — S1</w:t>
      </w:r>
    </w:p>
    <w:p>
      <w:pPr>
        <w:spacing w:before="240" w:after="80"/>
      </w:pPr>
      <w:r>
        <w:rPr>
          <w:b/>
          <w:color w:val="1F3864"/>
          <w:sz w:val="28"/>
        </w:rPr>
        <w:t>Rebuttable Presumptions</w:t>
      </w:r>
    </w:p>
    <w:p>
      <w:r>
        <w:rPr>
          <w:b/>
          <w:sz w:val="21"/>
        </w:rPr>
        <w:t>B1 — Evidenced</w:t>
      </w:r>
    </w:p>
    <w:p>
      <w:r>
        <w:rPr>
          <w:b w:val="0"/>
          <w:i/>
          <w:color w:val="595959"/>
          <w:sz w:val="18"/>
        </w:rPr>
        <w:t>Revenue recognition fraud risk, addressed at the scheme level (channel stuffing, bill-and-hold, side letters, multi-element/variable-consideration arrangements). If rebutted, rationale must tie to a specific revenue stream. (AS 2401.54)</w:t>
      </w:r>
    </w:p>
    <w:p>
      <w:r>
        <w:rPr>
          <w:b w:val="0"/>
          <w:i w:val="0"/>
          <w:sz w:val="20"/>
        </w:rPr>
        <w:t>“Team concluded the revenue-recognition fraud-risk presumption is rebutted for this specific revenue stream — no judgment-heavy allocation, no multi-element bundling, no consignment or bill-and-hold arrangements identified, control transfers cleanly at FOB shipping point.”  — S1</w:t>
      </w:r>
    </w:p>
    <w:p>
      <w:r>
        <w:rPr>
          <w:b/>
          <w:sz w:val="21"/>
        </w:rPr>
        <w:t>B2 — Evidenced</w:t>
      </w:r>
    </w:p>
    <w:p>
      <w:r>
        <w:rPr>
          <w:b w:val="0"/>
          <w:i/>
          <w:color w:val="595959"/>
          <w:sz w:val="18"/>
        </w:rPr>
        <w:t>Management override of controls, addressed as always present regardless of assessed control environment strength; explicit consideration of manual and top-side/consolidating entries (AS 2401.65)</w:t>
      </w:r>
    </w:p>
    <w:p>
      <w:r>
        <w:rPr>
          <w:b w:val="0"/>
          <w:i w:val="0"/>
          <w:sz w:val="20"/>
        </w:rPr>
        <w:t>“Reminded team that override is always presumed present regardless of the control environment. Reviewed manual journal entry approval process — dual sign-off required over $25,000; no instances of override noted to date.”  — S1</w:t>
      </w:r>
    </w:p>
    <w:p>
      <w:pPr>
        <w:spacing w:before="240" w:after="80"/>
      </w:pPr>
      <w:r>
        <w:rPr>
          <w:b/>
          <w:color w:val="1F3864"/>
          <w:sz w:val="28"/>
        </w:rPr>
        <w:t>Fraud Triangle Findings</w:t>
      </w:r>
    </w:p>
    <w:p>
      <w:r>
        <w:rPr>
          <w:b/>
          <w:sz w:val="21"/>
        </w:rPr>
        <w:t>C1 — Evidenced</w:t>
      </w:r>
    </w:p>
    <w:p>
      <w:r>
        <w:rPr>
          <w:b w:val="0"/>
          <w:i/>
          <w:color w:val="595959"/>
          <w:sz w:val="18"/>
        </w:rPr>
        <w:t>Incentive/pressure factors</w:t>
      </w:r>
    </w:p>
    <w:p>
      <w:r>
        <w:rPr>
          <w:b w:val="0"/>
          <w:i w:val="0"/>
          <w:sz w:val="20"/>
        </w:rPr>
        <w:t>“Regional sales managers' bonuses are tied to quarterly bookings; new CFO has emphasized "hitting the number" in recent town halls.”  — S1</w:t>
      </w:r>
    </w:p>
    <w:p>
      <w:r>
        <w:rPr>
          <w:b/>
          <w:sz w:val="21"/>
        </w:rPr>
        <w:t>C2 — Evidenced</w:t>
      </w:r>
    </w:p>
    <w:p>
      <w:r>
        <w:rPr>
          <w:b w:val="0"/>
          <w:i/>
          <w:color w:val="595959"/>
          <w:sz w:val="18"/>
        </w:rPr>
        <w:t>Opportunity factors</w:t>
      </w:r>
    </w:p>
    <w:p>
      <w:r>
        <w:rPr>
          <w:b w:val="0"/>
          <w:i w:val="0"/>
          <w:sz w:val="20"/>
        </w:rPr>
        <w:t>“Regional sales managers can approve customer credit memos up to $50,000 without a second signature.”  — S1</w:t>
      </w:r>
    </w:p>
    <w:p>
      <w:r>
        <w:rPr>
          <w:b/>
          <w:sz w:val="21"/>
        </w:rPr>
        <w:t>C3 — Evidenced</w:t>
      </w:r>
    </w:p>
    <w:p>
      <w:r>
        <w:rPr>
          <w:b w:val="0"/>
          <w:i/>
          <w:color w:val="595959"/>
          <w:sz w:val="18"/>
        </w:rPr>
        <w:t>Rationalization factors</w:t>
      </w:r>
    </w:p>
    <w:p>
      <w:r>
        <w:rPr>
          <w:b w:val="0"/>
          <w:i w:val="0"/>
          <w:sz w:val="20"/>
        </w:rPr>
        <w:t>“Some tenured sales staff have expressed frustration that targets increased significantly under the new CFO, which could create rationalization for cutting corners.”  — S1</w:t>
      </w:r>
    </w:p>
    <w:p>
      <w:pPr>
        <w:spacing w:before="240" w:after="80"/>
      </w:pPr>
      <w:r>
        <w:rPr>
          <w:b/>
          <w:color w:val="1F3864"/>
          <w:sz w:val="28"/>
        </w:rPr>
        <w:t>Known Fraud &amp; Reporting Channels</w:t>
      </w:r>
    </w:p>
    <w:p>
      <w:r>
        <w:rPr>
          <w:b/>
          <w:sz w:val="21"/>
        </w:rPr>
        <w:t>E1 — Evidenced</w:t>
      </w:r>
    </w:p>
    <w:p>
      <w:r>
        <w:rPr>
          <w:b w:val="0"/>
          <w:i/>
          <w:color w:val="595959"/>
          <w:sz w:val="18"/>
        </w:rPr>
        <w:t>Any known or suspected fraud instances</w:t>
      </w:r>
    </w:p>
    <w:p>
      <w:r>
        <w:rPr>
          <w:b w:val="0"/>
          <w:i w:val="0"/>
          <w:sz w:val="20"/>
        </w:rPr>
        <w:t>“Onboarding-survey tip re: undocumented extended payment terms (INC-01) — investigated and closed, S2. Possible Q4 shipping-document backdating (INC-02) — raised via ad-hoc session, unresolved, S3.”  — S2</w:t>
      </w:r>
    </w:p>
    <w:p>
      <w:r>
        <w:rPr>
          <w:b/>
          <w:color w:val="C00000"/>
          <w:sz w:val="21"/>
        </w:rPr>
        <w:t>E2 — Not evidenced</w:t>
      </w:r>
    </w:p>
    <w:p>
      <w:r>
        <w:rPr>
          <w:b w:val="0"/>
          <w:i/>
          <w:color w:val="595959"/>
          <w:sz w:val="18"/>
        </w:rPr>
        <w:t>Specific inquiry into whether the client's whistleblower/ethics hotline has logged complaints, and their disposition</w:t>
      </w:r>
    </w:p>
    <w:p>
      <w:r>
        <w:rPr>
          <w:b/>
          <w:i w:val="0"/>
          <w:color w:val="C00000"/>
          <w:sz w:val="19"/>
        </w:rPr>
        <w:t>⚠ The whistleblower/ethics hotline is never raised in any session's notes — this is an omission (nobody asked), not a documented 'no complaints this year' conclusion.</w:t>
      </w:r>
    </w:p>
    <w:p>
      <w:pPr>
        <w:spacing w:before="240" w:after="80"/>
      </w:pPr>
      <w:r>
        <w:rPr>
          <w:b/>
          <w:color w:val="1F3864"/>
          <w:sz w:val="28"/>
        </w:rPr>
        <w:t>IT, Cyber &amp; EUC</w:t>
      </w:r>
    </w:p>
    <w:p>
      <w:r>
        <w:rPr>
          <w:b/>
          <w:sz w:val="21"/>
        </w:rPr>
        <w:t>F1 — Evidenced</w:t>
      </w:r>
    </w:p>
    <w:p>
      <w:r>
        <w:rPr>
          <w:b w:val="0"/>
          <w:i/>
          <w:color w:val="595959"/>
          <w:sz w:val="18"/>
        </w:rPr>
        <w:t>IT/cyber fraud risk — general access-control and data-manipulation exposure</w:t>
      </w:r>
    </w:p>
    <w:p>
      <w:r>
        <w:rPr>
          <w:b w:val="0"/>
          <w:i w:val="0"/>
          <w:sz w:val="20"/>
        </w:rPr>
        <w:t>“Reviewed IT general controls testing scope for the ERP system (SAP Business One); no unusual access findings from the preliminary walkthrough.”  — S1</w:t>
      </w:r>
    </w:p>
    <w:p>
      <w:r>
        <w:rPr>
          <w:b/>
          <w:color w:val="C00000"/>
          <w:sz w:val="21"/>
        </w:rPr>
        <w:t>F2 — Not evidenced</w:t>
      </w:r>
    </w:p>
    <w:p>
      <w:r>
        <w:rPr>
          <w:b w:val="0"/>
          <w:i/>
          <w:color w:val="595959"/>
          <w:sz w:val="18"/>
        </w:rPr>
        <w:t>Business email compromise / fraudulent wire-transfer exposure (expanded when cyber_exposure_flag is set)</w:t>
      </w:r>
    </w:p>
    <w:p>
      <w:r>
        <w:rPr>
          <w:b/>
          <w:sz w:val="21"/>
        </w:rPr>
        <w:t>F3 — Evidenced</w:t>
      </w:r>
    </w:p>
    <w:p>
      <w:r>
        <w:rPr>
          <w:b w:val="0"/>
          <w:i/>
          <w:color w:val="595959"/>
          <w:sz w:val="18"/>
        </w:rPr>
        <w:t>End-user-computing / spreadsheet override risk in significant estimates or consolidation</w:t>
      </w:r>
    </w:p>
    <w:p>
      <w:r>
        <w:rPr>
          <w:b w:val="0"/>
          <w:i w:val="0"/>
          <w:sz w:val="20"/>
        </w:rPr>
        <w:t>“Warranty reserve calculation is maintained in a standalone spreadsheet; agreed this will be included in this year's IT general controls / EUC review scope.”  — S1</w:t>
      </w:r>
    </w:p>
    <w:p>
      <w:pPr>
        <w:spacing w:before="240" w:after="80"/>
      </w:pPr>
      <w:r>
        <w:rPr>
          <w:b/>
          <w:color w:val="1F3864"/>
          <w:sz w:val="28"/>
        </w:rPr>
        <w:t>Unpredictability</w:t>
      </w:r>
    </w:p>
    <w:p>
      <w:r>
        <w:rPr>
          <w:b/>
          <w:sz w:val="21"/>
        </w:rPr>
        <w:t>G1 — Evidenced</w:t>
      </w:r>
    </w:p>
    <w:p>
      <w:r>
        <w:rPr>
          <w:b w:val="0"/>
          <w:i/>
          <w:color w:val="595959"/>
          <w:sz w:val="18"/>
        </w:rPr>
        <w:t>At least one specific unpredictability element for this engagement</w:t>
      </w:r>
    </w:p>
    <w:p>
      <w:r>
        <w:rPr>
          <w:b w:val="0"/>
          <w:i w:val="0"/>
          <w:sz w:val="20"/>
        </w:rPr>
        <w:t>“Agreed to perform an unannounced test of inventory counts at the main facility rather than providing advance notice, which appears to have been the predecessor's past practice.”  — S1</w:t>
      </w:r>
    </w:p>
    <w:p>
      <w:pPr>
        <w:spacing w:before="240" w:after="80"/>
      </w:pPr>
      <w:r>
        <w:rPr>
          <w:b/>
          <w:color w:val="1F3864"/>
          <w:sz w:val="28"/>
        </w:rPr>
        <w:t>Related Parties &amp; Significant Unusual Transactions</w:t>
      </w:r>
    </w:p>
    <w:p>
      <w:r>
        <w:rPr>
          <w:b/>
          <w:sz w:val="21"/>
        </w:rPr>
        <w:t>H1 — Evidenced</w:t>
      </w:r>
    </w:p>
    <w:p>
      <w:r>
        <w:rPr>
          <w:b w:val="0"/>
          <w:i/>
          <w:color w:val="595959"/>
          <w:sz w:val="18"/>
        </w:rPr>
        <w:t>Related-party relationships and transactions, including any structured to obscure the related-party nature</w:t>
      </w:r>
    </w:p>
    <w:p>
      <w:r>
        <w:rPr>
          <w:b w:val="0"/>
          <w:i w:val="0"/>
          <w:sz w:val="20"/>
        </w:rPr>
        <w:t>“Inquired of management regarding related-party transactions — none identified beyond standard officer compensation arrangements.”  — S1</w:t>
      </w:r>
    </w:p>
    <w:p>
      <w:r>
        <w:rPr>
          <w:b/>
          <w:sz w:val="21"/>
        </w:rPr>
        <w:t>H2 — Evidenced</w:t>
      </w:r>
    </w:p>
    <w:p>
      <w:r>
        <w:rPr>
          <w:b w:val="0"/>
          <w:i/>
          <w:color w:val="595959"/>
          <w:sz w:val="18"/>
        </w:rPr>
        <w:t>Significant unusual transactions, particularly near period-end, outside the normal course of business, or with unusual terms</w:t>
      </w:r>
    </w:p>
    <w:p>
      <w:r>
        <w:rPr>
          <w:b w:val="0"/>
          <w:i w:val="0"/>
          <w:sz w:val="20"/>
        </w:rPr>
        <w:t>“No significant unusual transactions noted in year-to-date activity.”  — S1</w:t>
      </w:r>
    </w:p>
    <w:p>
      <w:pPr>
        <w:spacing w:before="240" w:after="80"/>
      </w:pPr>
      <w:r>
        <w:rPr>
          <w:b/>
          <w:color w:val="1F3864"/>
          <w:sz w:val="28"/>
        </w:rPr>
        <w:t>Management Estimates &amp; Accounting Judgments</w:t>
      </w:r>
    </w:p>
    <w:p>
      <w:r>
        <w:rPr>
          <w:b/>
          <w:sz w:val="21"/>
        </w:rPr>
        <w:t>I1 — Evidenced</w:t>
      </w:r>
    </w:p>
    <w:p>
      <w:r>
        <w:rPr>
          <w:b w:val="0"/>
          <w:i/>
          <w:color w:val="595959"/>
          <w:sz w:val="18"/>
        </w:rPr>
        <w:t>Key estimates susceptible to management bias (impairment, ECL/allowance, reserves, contract assets/costs) and whether a pattern of bias was discussed</w:t>
      </w:r>
    </w:p>
    <w:p>
      <w:r>
        <w:rPr>
          <w:b w:val="0"/>
          <w:i w:val="0"/>
          <w:sz w:val="20"/>
        </w:rPr>
        <w:t>“Discussed key estimates: warranty reserve methodology and inventory obsolescence reserve. This ties directly to the predecessor auditor communication regarding a disputed warranty reserve adjustment.”  — S1</w:t>
      </w:r>
    </w:p>
    <w:p>
      <w:pPr>
        <w:spacing w:before="240" w:after="80"/>
      </w:pPr>
      <w:r>
        <w:rPr>
          <w:b/>
          <w:color w:val="1F3864"/>
          <w:sz w:val="28"/>
        </w:rPr>
        <w:t>First-Year Engagement Considerations</w:t>
      </w:r>
    </w:p>
    <w:p>
      <w:r>
        <w:rPr>
          <w:b/>
          <w:sz w:val="21"/>
        </w:rPr>
        <w:t>K1 — Evidenced</w:t>
      </w:r>
    </w:p>
    <w:p>
      <w:r>
        <w:rPr>
          <w:b w:val="0"/>
          <w:i/>
          <w:color w:val="595959"/>
          <w:sz w:val="18"/>
        </w:rPr>
        <w:t>Predecessor auditor communication regarding fraud or fraud risk factors noted in prior periods</w:t>
      </w:r>
    </w:p>
    <w:p>
      <w:r>
        <w:rPr>
          <w:b w:val="0"/>
          <w:i w:val="0"/>
          <w:sz w:val="20"/>
        </w:rPr>
        <w:t>“Per AS 2610, the engagement team communicated with the predecessor auditor, Whitmore &amp; Associates LLP. Whitmore confirmed no disagreements specifically characterized as fraud-related, but noted they had proposed a $2.1 million increase to the warranty reserve in FY2024, which management declined to book, characterizing it as immaterial.”  — S1</w:t>
      </w:r>
    </w:p>
    <w:p>
      <w:r>
        <w:rPr>
          <w:b/>
          <w:sz w:val="21"/>
        </w:rPr>
        <w:t>K2 — Evidenced</w:t>
      </w:r>
    </w:p>
    <w:p>
      <w:r>
        <w:rPr>
          <w:b w:val="0"/>
          <w:i/>
          <w:color w:val="595959"/>
          <w:sz w:val="18"/>
        </w:rPr>
        <w:t>Opening balance fraud risk, including any indication of prior-period manipulation not yet corrected</w:t>
      </w:r>
    </w:p>
    <w:p>
      <w:r>
        <w:rPr>
          <w:b w:val="0"/>
          <w:i w:val="0"/>
          <w:sz w:val="20"/>
        </w:rPr>
        <w:t>“Given the unadjusted difference not booked by the predecessor, agreed opening retained earnings and the warranty reserve opening balance warrant extended substantive testing this year rather than being accepted solely on the predecessor's clearance.”  — S1</w:t>
      </w:r>
    </w:p>
    <w:p>
      <w:pPr>
        <w:spacing w:before="240" w:after="80"/>
      </w:pPr>
      <w:r>
        <w:rPr>
          <w:b/>
          <w:color w:val="1F3864"/>
          <w:sz w:val="28"/>
        </w:rPr>
        <w:t>Fraud Risk Register (summary — see companion workbook for full detail)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ID</w:t>
            </w:r>
          </w:p>
        </w:tc>
        <w:tc>
          <w:tcPr>
            <w:tcW w:type="dxa" w:w="2160"/>
          </w:tcPr>
          <w:p>
            <w:r>
              <w:t>Description</w:t>
            </w:r>
          </w:p>
        </w:tc>
        <w:tc>
          <w:tcPr>
            <w:tcW w:type="dxa" w:w="2160"/>
          </w:tcPr>
          <w:p>
            <w:r>
              <w:t>Category</w:t>
            </w:r>
          </w:p>
        </w:tc>
        <w:tc>
          <w:tcPr>
            <w:tcW w:type="dxa" w:w="2160"/>
          </w:tcPr>
          <w:p>
            <w:r>
              <w:t>Accounts Affected</w:t>
            </w:r>
          </w:p>
        </w:tc>
      </w:tr>
      <w:tr>
        <w:tc>
          <w:tcPr>
            <w:tcW w:type="dxa" w:w="2160"/>
          </w:tcPr>
          <w:p>
            <w:r>
              <w:t>R1</w:t>
            </w:r>
          </w:p>
        </w:tc>
        <w:tc>
          <w:tcPr>
            <w:tcW w:type="dxa" w:w="2160"/>
          </w:tcPr>
          <w:p>
            <w:r>
              <w:t>Warranty reserve estimate potentially biased toward understatement — predecessor proposed a $2.1M increase in FY2024 that management declined to book.</w:t>
            </w:r>
          </w:p>
        </w:tc>
        <w:tc>
          <w:tcPr>
            <w:tcW w:type="dxa" w:w="2160"/>
          </w:tcPr>
          <w:p>
            <w:r>
              <w:t>Rationalization</w:t>
            </w:r>
          </w:p>
        </w:tc>
        <w:tc>
          <w:tcPr>
            <w:tcW w:type="dxa" w:w="2160"/>
          </w:tcPr>
          <w:p>
            <w:r>
              <w:t>Warranty reserve</w:t>
            </w:r>
          </w:p>
        </w:tc>
      </w:tr>
      <w:tr>
        <w:tc>
          <w:tcPr>
            <w:tcW w:type="dxa" w:w="2160"/>
          </w:tcPr>
          <w:p>
            <w:r>
              <w:t>R2</w:t>
            </w:r>
          </w:p>
        </w:tc>
        <w:tc>
          <w:tcPr>
            <w:tcW w:type="dxa" w:w="2160"/>
          </w:tcPr>
          <w:p>
            <w:r>
              <w:t>Management override via manual journal entries — standard presumption, no override observed to date.</w:t>
            </w:r>
          </w:p>
        </w:tc>
        <w:tc>
          <w:tcPr>
            <w:tcW w:type="dxa" w:w="2160"/>
          </w:tcPr>
          <w:p>
            <w:r>
              <w:t>Opportunity</w:t>
            </w:r>
          </w:p>
        </w:tc>
        <w:tc>
          <w:tcPr>
            <w:tcW w:type="dxa" w:w="2160"/>
          </w:tcPr>
          <w:p>
            <w:r>
              <w:t>Manual journal entries</w:t>
            </w:r>
          </w:p>
        </w:tc>
      </w:tr>
      <w:tr>
        <w:tc>
          <w:tcPr>
            <w:tcW w:type="dxa" w:w="2160"/>
          </w:tcPr>
          <w:p>
            <w:r>
              <w:t>R3</w:t>
            </w:r>
          </w:p>
        </w:tc>
        <w:tc>
          <w:tcPr>
            <w:tcW w:type="dxa" w:w="2160"/>
          </w:tcPr>
          <w:p>
            <w:r>
              <w:t>Sales incentive compensation structure (bonuses tied to bookings, uncapped credit-memo authority, target pressure from new CFO) creates fraud-triangle exposure around revenue timing.</w:t>
            </w:r>
          </w:p>
        </w:tc>
        <w:tc>
          <w:tcPr>
            <w:tcW w:type="dxa" w:w="2160"/>
          </w:tcPr>
          <w:p>
            <w:r>
              <w:t>Incentive/Pressure</w:t>
            </w:r>
          </w:p>
        </w:tc>
        <w:tc>
          <w:tcPr>
            <w:tcW w:type="dxa" w:w="2160"/>
          </w:tcPr>
          <w:p>
            <w:r>
              <w:t>Revenue, accounts receivable</w:t>
            </w:r>
          </w:p>
        </w:tc>
      </w:tr>
      <w:tr>
        <w:tc>
          <w:tcPr>
            <w:tcW w:type="dxa" w:w="2160"/>
          </w:tcPr>
          <w:p>
            <w:r>
              <w:t>R4</w:t>
            </w:r>
          </w:p>
        </w:tc>
        <w:tc>
          <w:tcPr>
            <w:tcW w:type="dxa" w:w="2160"/>
          </w:tcPr>
          <w:p>
            <w:r>
              <w:t>Possible Q4 shipping-document backdating for one distributor (~$340,000) identified via internal audit cutoff follow-up; not yet substantiated.</w:t>
            </w:r>
          </w:p>
        </w:tc>
        <w:tc>
          <w:tcPr>
            <w:tcW w:type="dxa" w:w="2160"/>
          </w:tcPr>
          <w:p>
            <w:r>
              <w:t>Opportunity</w:t>
            </w:r>
          </w:p>
        </w:tc>
        <w:tc>
          <w:tcPr>
            <w:tcW w:type="dxa" w:w="2160"/>
          </w:tcPr>
          <w:p>
            <w:r>
              <w:t>Revenue</w:t>
            </w:r>
          </w:p>
        </w:tc>
      </w:tr>
      <w:tr>
        <w:tc>
          <w:tcPr>
            <w:tcW w:type="dxa" w:w="2160"/>
          </w:tcPr>
          <w:p>
            <w:r>
              <w:t>R5</w:t>
            </w:r>
          </w:p>
        </w:tc>
        <w:tc>
          <w:tcPr>
            <w:tcW w:type="dxa" w:w="2160"/>
          </w:tcPr>
          <w:p>
            <w:r>
              <w:t>Opening balance risk on the warranty reserve and retained earnings given the predecessor's unbooked proposed adjustment.</w:t>
            </w:r>
          </w:p>
        </w:tc>
        <w:tc>
          <w:tcPr>
            <w:tcW w:type="dxa" w:w="2160"/>
          </w:tcPr>
          <w:p>
            <w:r>
              <w:t>Unclassified</w:t>
            </w:r>
          </w:p>
        </w:tc>
        <w:tc>
          <w:tcPr>
            <w:tcW w:type="dxa" w:w="2160"/>
          </w:tcPr>
          <w:p>
            <w:r>
              <w:t>Warranty reserve, retained earnings (opening balance)</w:t>
            </w:r>
          </w:p>
        </w:tc>
      </w:tr>
    </w:tbl>
    <w:p>
      <w:pPr>
        <w:spacing w:before="240" w:after="80"/>
      </w:pPr>
      <w:r>
        <w:rPr>
          <w:b/>
          <w:color w:val="1F3864"/>
          <w:sz w:val="28"/>
        </w:rPr>
        <w:t>Engagement Quality Review</w:t>
      </w:r>
    </w:p>
    <w:p>
      <w:r>
        <w:rPr>
          <w:b/>
          <w:i w:val="0"/>
          <w:color w:val="C00000"/>
          <w:sz w:val="21"/>
        </w:rPr>
        <w:t>This engagement requires an EQR checkpoint (public-interest entity and/or an open Escalation Log entry). EQR completion status: NOT YET LOGGED</w:t>
      </w:r>
    </w:p>
    <w:p>
      <w:pPr>
        <w:spacing w:before="240" w:after="80"/>
      </w:pPr>
      <w:r>
        <w:rPr>
          <w:b/>
          <w:color w:val="1F3864"/>
          <w:sz w:val="28"/>
        </w:rPr>
        <w:t>Open Items (Changelog)</w:t>
      </w:r>
    </w:p>
    <w:p>
      <w:r>
        <w:rPr>
          <w:b/>
          <w:i w:val="0"/>
          <w:color w:val="C00000"/>
          <w:sz w:val="20"/>
        </w:rPr>
        <w:t>✗ HARD GATE — Session S3 (ad-hoc) is missing a discussion date or attendee list — ISA 240.44 documentation requirement</w:t>
      </w:r>
    </w:p>
    <w:p>
      <w:r>
        <w:rPr>
          <w:b/>
          <w:i w:val="0"/>
          <w:color w:val="C00000"/>
          <w:sz w:val="20"/>
        </w:rPr>
        <w:t>✗ HARD GATE — INC-02 not yet routed through the Escalation Log (Step 6)</w:t>
      </w:r>
    </w:p>
    <w:p>
      <w:r>
        <w:rPr>
          <w:b/>
          <w:i w:val="0"/>
          <w:color w:val="C00000"/>
          <w:sz w:val="20"/>
        </w:rPr>
        <w:t>✗ HARD GATE — EQR checkpoint required (public-interest entity, 1 open Escalation Log entry) but not yet logged</w:t>
      </w:r>
    </w:p>
    <w:p>
      <w:r>
        <w:rPr>
          <w:b/>
          <w:i w:val="0"/>
          <w:color w:val="C00000"/>
          <w:sz w:val="20"/>
        </w:rPr>
        <w:t>✗ HARD GATE — Required 'final' session not yet logged</w:t>
      </w:r>
    </w:p>
    <w:p>
      <w:r>
        <w:rPr>
          <w:b w:val="0"/>
          <w:i w:val="0"/>
          <w:sz w:val="20"/>
        </w:rPr>
        <w:t>• E2 not evidenced in any session to date (The whistleblower/ethics hotline is never raised in any session's notes — this is an omission (nobody asked), not a documented 'no complaints this year' conclusion.) — Pending — awaiting team confirmation</w:t>
      </w:r>
    </w:p>
    <w:p>
      <w:r>
        <w:rPr>
          <w:b w:val="0"/>
          <w:i w:val="0"/>
          <w:sz w:val="20"/>
        </w:rPr>
        <w:t>• F2 not evidenced in any session to date — Pending — awaiting team confirmation</w:t>
      </w:r>
    </w:p>
    <w:p>
      <w:r>
        <w:rPr>
          <w:b w:val="0"/>
          <w:i w:val="0"/>
          <w:color w:val="595959"/>
          <w:sz w:val="19"/>
        </w:rPr>
        <w:t>▸ A3: evidenced but thin — "Standard inventory and cash controls reviewed at a high level; nothing unusual noted. Detailed testing to follow in fieldwork."</w:t>
      </w:r>
    </w:p>
    <w:p>
      <w:r>
        <w:rPr>
          <w:b w:val="0"/>
          <w:i w:val="0"/>
          <w:color w:val="595959"/>
          <w:sz w:val="19"/>
        </w:rPr>
        <w:t>▸ Session S2 (interim): this framework expects engagement-partner participation, but no attendee is listed as Partner</w:t>
      </w:r>
    </w:p>
    <w:p>
      <w:pPr>
        <w:spacing w:before="240" w:after="80"/>
      </w:pPr>
      <w:r>
        <w:rPr>
          <w:b/>
          <w:color w:val="1F3864"/>
          <w:sz w:val="28"/>
        </w:rPr>
        <w:t>Sign-off</w:t>
      </w:r>
    </w:p>
    <w:tbl>
      <w:tblPr>
        <w:tblStyle w:val="LightGrid-Accent1"/>
        <w:tblW w:type="auto" w:w="0"/>
        <w:tblLook w:firstColumn="1" w:firstRow="1" w:lastColumn="0" w:lastRow="0" w:noHBand="0" w:noVBand="1" w:val="04A0"/>
      </w:tblPr>
      <w:tblGrid>
        <w:gridCol w:w="4320"/>
        <w:gridCol w:w="4320"/>
      </w:tblGrid>
      <w:tr>
        <w:tc>
          <w:tcPr>
            <w:tcW w:type="dxa" w:w="4320"/>
          </w:tcPr>
          <w:p>
            <w:r>
              <w:t>Engagement Partner</w:t>
            </w:r>
          </w:p>
        </w:tc>
        <w:tc>
          <w:tcPr>
            <w:tcW w:type="dxa" w:w="4320"/>
          </w:tcPr>
          <w:p>
            <w:r>
              <w:t>Date</w:t>
            </w:r>
          </w:p>
        </w:tc>
      </w:tr>
      <w:tr>
        <w:tc>
          <w:tcPr>
            <w:tcW w:type="dxa" w:w="4320"/>
          </w:tcPr>
          <w:p>
            <w:r>
              <w:t>Manager</w:t>
            </w:r>
          </w:p>
        </w:tc>
        <w:tc>
          <w:tcPr>
            <w:tcW w:type="dxa" w:w="4320"/>
          </w:tcPr>
          <w:p>
            <w:r>
              <w:t>Date</w:t>
            </w:r>
          </w:p>
        </w:tc>
      </w:tr>
      <w:tr>
        <w:tc>
          <w:tcPr>
            <w:tcW w:type="dxa" w:w="4320"/>
          </w:tcPr>
          <w:p>
            <w:r>
              <w:t>EQR (if applicable)</w:t>
            </w:r>
          </w:p>
        </w:tc>
        <w:tc>
          <w:tcPr>
            <w:tcW w:type="dxa" w:w="432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