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8"/>
          <w:szCs w:val="28"/>
        </w:rPr>
        <w:t xml:space="preserve">Thornbury Industrial Group Inc.</w:t>
      </w:r>
    </w:p>
    <w:p>
      <w:pPr>
        <w:spacing w:after="60" w:before="60"/>
      </w:pPr>
      <w:r>
        <w:rPr>
          <w:b/>
          <w:bCs/>
          <w:color w:val="1F3864"/>
          <w:sz w:val="24"/>
          <w:szCs w:val="24"/>
        </w:rPr>
        <w:t xml:space="preserve">Component Fraud Discussion Summary — Meridian FinPay Solutions Inc.</w:t>
      </w:r>
    </w:p>
    <w:p>
      <w:pPr>
        <w:spacing w:after="200"/>
      </w:pPr>
      <w:r>
        <w:rPr>
          <w:i/>
          <w:iCs/>
          <w:color w:val="595959"/>
          <w:sz w:val="20"/>
          <w:szCs w:val="20"/>
        </w:rPr>
        <w:t xml:space="preserve">Other-firm component — submitted to group engagement team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shd w:fill="F2F2F2" w:val="clear"/>
          </w:tcPr>
          <w:p>
            <w:r>
              <w:rPr>
                <w:b/>
                <w:bCs/>
                <w:sz w:val="20"/>
                <w:szCs w:val="20"/>
              </w:rPr>
              <w:t xml:space="preserve">Component</w:t>
            </w:r>
          </w:p>
        </w:tc>
        <w:tc>
          <w:tcPr>
            <w:tcW w:type="dxa" w:w="7500"/>
          </w:tcPr>
          <w:p>
            <w:r>
              <w:rPr>
                <w:sz w:val="20"/>
                <w:szCs w:val="20"/>
              </w:rPr>
              <w:t xml:space="preserve">Meridian FinPay Solutions Inc.</w:t>
            </w:r>
          </w:p>
        </w:tc>
      </w:tr>
      <w:tr>
        <w:tc>
          <w:tcPr>
            <w:tcW w:type="dxa" w:w="2500"/>
            <w:shd w:fill="F2F2F2" w:val="clear"/>
          </w:tcPr>
          <w:p>
            <w:r>
              <w:rPr>
                <w:b/>
                <w:bCs/>
                <w:sz w:val="20"/>
                <w:szCs w:val="20"/>
              </w:rPr>
              <w:t xml:space="preserve">Relationship to group firm</w:t>
            </w:r>
          </w:p>
        </w:tc>
        <w:tc>
          <w:tcPr>
            <w:tcW w:type="dxa" w:w="7500"/>
          </w:tcPr>
          <w:p>
            <w:r>
              <w:rPr>
                <w:sz w:val="20"/>
                <w:szCs w:val="20"/>
              </w:rPr>
              <w:t xml:space="preserve">Other firm — Ferris &amp; Cole LLP</w:t>
            </w:r>
          </w:p>
        </w:tc>
      </w:tr>
      <w:tr>
        <w:tc>
          <w:tcPr>
            <w:tcW w:type="dxa" w:w="2500"/>
            <w:shd w:fill="F2F2F2" w:val="clear"/>
          </w:tcPr>
          <w:p>
            <w:r>
              <w:rPr>
                <w:b/>
                <w:bCs/>
                <w:sz w:val="20"/>
                <w:szCs w:val="20"/>
              </w:rPr>
              <w:t xml:space="preserve">Component audit team lead</w:t>
            </w:r>
          </w:p>
        </w:tc>
        <w:tc>
          <w:tcPr>
            <w:tcW w:type="dxa" w:w="7500"/>
          </w:tcPr>
          <w:p>
            <w:r>
              <w:rPr>
                <w:sz w:val="20"/>
                <w:szCs w:val="20"/>
              </w:rPr>
              <w:t xml:space="preserve">Jonathan Pryce</w:t>
            </w:r>
          </w:p>
        </w:tc>
      </w:tr>
      <w:tr>
        <w:tc>
          <w:tcPr>
            <w:tcW w:type="dxa" w:w="2500"/>
            <w:shd w:fill="F2F2F2" w:val="clear"/>
          </w:tcPr>
          <w:p>
            <w:r>
              <w:rPr>
                <w:b/>
                <w:bCs/>
                <w:sz w:val="20"/>
                <w:szCs w:val="20"/>
              </w:rPr>
              <w:t xml:space="preserve">Discussion date</w:t>
            </w:r>
          </w:p>
        </w:tc>
        <w:tc>
          <w:tcPr>
            <w:tcW w:type="dxa" w:w="7500"/>
          </w:tcPr>
          <w:p>
            <w:r>
              <w:rPr>
                <w:sz w:val="20"/>
                <w:szCs w:val="20"/>
              </w:rPr>
              <w:t xml:space="preserve">December 18, 2025</w:t>
            </w:r>
          </w:p>
        </w:tc>
      </w:tr>
    </w:tbl>
    <w:p>
      <w:pPr>
        <w:spacing w:after="120"/>
      </w:pPr>
      <w:r>
        <w:rPr>
          <w:sz w:val="20"/>
          <w:szCs w:val="20"/>
        </w:rPr>
        <w:t xml:space="preserve">We discussed fraud risk with the engagement team. No significant issues noted. Revenue recognition and management override were considered as part of our standard planning discussion. We are not aware of any fraud or suspected fraud at this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2026-09-12T04:14:26.078Z</dcterms:created>
  <dcterms:modified xsi:type="dcterms:W3CDTF">2026-09-12T04:14:26.078Z</dcterms:modified>
</cp:coreProperties>
</file>

<file path=docProps/custom.xml><?xml version="1.0" encoding="utf-8"?>
<Properties xmlns="http://schemas.openxmlformats.org/officeDocument/2006/custom-properties" xmlns:vt="http://schemas.openxmlformats.org/officeDocument/2006/docPropsVTypes"/>
</file>