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3864"/>
          <w:sz w:val="28"/>
          <w:szCs w:val="28"/>
        </w:rPr>
        <w:t xml:space="preserve">Thornbury Industrial Group Inc.</w:t>
      </w:r>
    </w:p>
    <w:p>
      <w:pPr>
        <w:spacing w:after="60" w:before="60"/>
      </w:pPr>
      <w:r>
        <w:rPr>
          <w:b/>
          <w:bCs/>
          <w:color w:val="1F3864"/>
          <w:sz w:val="24"/>
          <w:szCs w:val="24"/>
        </w:rPr>
        <w:t xml:space="preserve">Component Fraud Discussion Summary — Thornbury Manufacturing Ltd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Network-firm component — submitted to group engagement team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7500"/>
          </w:tcPr>
          <w:p>
            <w:r>
              <w:rPr>
                <w:sz w:val="20"/>
                <w:szCs w:val="20"/>
              </w:rPr>
              <w:t xml:space="preserve">Thornbury Manufacturing Ltd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Relationship to group firm</w:t>
            </w:r>
          </w:p>
        </w:tc>
        <w:tc>
          <w:tcPr>
            <w:tcW w:type="dxa" w:w="7500"/>
          </w:tcPr>
          <w:p>
            <w:r>
              <w:rPr>
                <w:sz w:val="20"/>
                <w:szCs w:val="20"/>
              </w:rPr>
              <w:t xml:space="preserve">Network firm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Component audit team lead</w:t>
            </w:r>
          </w:p>
        </w:tc>
        <w:tc>
          <w:tcPr>
            <w:tcW w:type="dxa" w:w="7500"/>
          </w:tcPr>
          <w:p>
            <w:r>
              <w:rPr>
                <w:sz w:val="20"/>
                <w:szCs w:val="20"/>
              </w:rPr>
              <w:t xml:space="preserve">Rachel Osei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Discussion date</w:t>
            </w:r>
          </w:p>
        </w:tc>
        <w:tc>
          <w:tcPr>
            <w:tcW w:type="dxa" w:w="7500"/>
          </w:tcPr>
          <w:p>
            <w:r>
              <w:rPr>
                <w:sz w:val="20"/>
                <w:szCs w:val="20"/>
              </w:rPr>
              <w:t xml:space="preserve">December 12, 2025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Revenue recognition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Discussed scheme-level risk specific to our contracts: allocation of transaction price across equipment, installation, and service elements; potential for side terms on installation timing that could affect when control transfers; no indicators of channel stuffing observed in Q4 shipping patterns.</w:t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Management override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Reviewed component-level manual JE approval controls — operating as designed this year. No instances of override identified.</w:t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Fraud triangle factors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Incentive/pressure: sales team commission structure is tied to unit sales volume, creating some incentive around period-end shipping cutoff.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Opportunity: ERP allows a manual price override function, restricted to two named users; access reviewed, appears appropriately restricted.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Rationalization: strong tone at the top locally; no history of override; plant GM has been in role 11 years with a clean track record.</w:t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Related parties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None identified at the component level beyond the CNC machine sale to Ridgeline Fabrication already flagged to the group team.</w:t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IT / EUC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Production costing spreadsheets remain a manually maintained EUC file; flagged for review as in prior years.</w:t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Unpredictability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Varied our journal entry sample selection method this year compared to FY2024's approach.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2026-09-12T04:14:26.070Z</dcterms:created>
  <dcterms:modified xsi:type="dcterms:W3CDTF">2026-09-12T04:14:26.070Z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