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28"/>
          <w:szCs w:val="28"/>
        </w:rPr>
        <w:t xml:space="preserve">Thornbury Industrial Group Inc.</w:t>
      </w:r>
    </w:p>
    <w:p>
      <w:pPr>
        <w:spacing w:after="60" w:before="60"/>
      </w:pPr>
      <w:r>
        <w:rPr>
          <w:b/>
          <w:bCs/>
          <w:color w:val="1F3864"/>
          <w:sz w:val="24"/>
          <w:szCs w:val="24"/>
        </w:rPr>
        <w:t xml:space="preserve">Fraud Risk Discussion — Ad-Hoc Session (Emergency)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Raw meeting notes, not yet formatted into the memo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Ad-hoc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Suspected business email compromise / fraudulent wire transfer attempt at Meridian FinPay Solutions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January 14, 2026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Sarah Whitfield (Partner), David Okoro (Manager), Elena Vasquez (IT/Cyber Specialist)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FinPay's controller notified group finance on January 10, 2026 that FinPay's AP team had received an email purporting to be from a legitimate vendor requesting an urgent change to banking details ahead of a $340,000 payment.</w:t>
      </w:r>
    </w:p>
    <w:p>
      <w:pPr>
        <w:spacing w:after="120"/>
      </w:pPr>
      <w:r>
        <w:rPr>
          <w:sz w:val="20"/>
          <w:szCs w:val="20"/>
        </w:rPr>
        <w:t xml:space="preserve">The payment was initiated before the bank-detail change was verified by phone. FinPay's bank flagged the transaction as suspicious and froze it before any funds left the account — no funds were ultimately lost.</w:t>
      </w:r>
    </w:p>
    <w:p>
      <w:pPr>
        <w:spacing w:after="120"/>
      </w:pPr>
      <w:r>
        <w:rPr>
          <w:sz w:val="20"/>
          <w:szCs w:val="20"/>
        </w:rPr>
        <w:t xml:space="preserve">Client's internal IT team is investigating whether the compromise originated from an internal mailbox compromise or was a purely external spoof. Not yet concluded as of this call.</w:t>
      </w:r>
    </w:p>
    <w:p>
      <w:pPr>
        <w:spacing w:after="120"/>
      </w:pPr>
      <w:r>
        <w:rPr>
          <w:sz w:val="20"/>
          <w:szCs w:val="20"/>
        </w:rPr>
        <w:t xml:space="preserve">Sarah directed that this be logged as a known/suspected fraud matter and routed through the escalation process, and that we confirm whether communication to those charged with governance has occurred or needs to occur.</w:t>
      </w:r>
    </w:p>
    <w:p>
      <w:pPr>
        <w:spacing w:after="120"/>
      </w:pPr>
      <w:r>
        <w:rPr>
          <w:sz w:val="20"/>
          <w:szCs w:val="20"/>
        </w:rPr>
        <w:t xml:space="preserve">Elena noted this reinforces the need to expand our IT/cyber discussion beyond generic access-control testing this year, given FinPay's role processing third-party payments.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2026-09-12T04:14:26.052Z</dcterms:created>
  <dcterms:modified xsi:type="dcterms:W3CDTF">2026-09-12T04:14:26.052Z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