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1F3864"/>
          <w:sz w:val="28"/>
          <w:szCs w:val="28"/>
        </w:rPr>
        <w:t xml:space="preserve">Thornbury Industrial Group Inc.</w:t>
      </w:r>
    </w:p>
    <w:p>
      <w:pPr>
        <w:spacing w:after="60" w:before="60"/>
      </w:pPr>
      <w:r>
        <w:rPr>
          <w:b/>
          <w:bCs/>
          <w:color w:val="1F3864"/>
          <w:sz w:val="24"/>
          <w:szCs w:val="24"/>
        </w:rPr>
        <w:t xml:space="preserve">Fraud Risk Discussion — Final Session</w:t>
      </w:r>
    </w:p>
    <w:p>
      <w:pPr>
        <w:spacing w:after="200"/>
      </w:pPr>
      <w:r>
        <w:rPr>
          <w:i/>
          <w:iCs/>
          <w:color w:val="595959"/>
          <w:sz w:val="20"/>
          <w:szCs w:val="20"/>
        </w:rPr>
        <w:t xml:space="preserve">Raw meeting notes, not yet formatted into the memo</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500"/>
        <w:gridCol w:w="7500"/>
      </w:tblGrid>
      <w:tr>
        <w:tc>
          <w:tcPr>
            <w:tcW w:type="dxa" w:w="2500"/>
            <w:shd w:fill="F2F2F2" w:val="clear"/>
          </w:tcPr>
          <w:p>
            <w:r>
              <w:rPr>
                <w:b/>
                <w:bCs/>
                <w:sz w:val="20"/>
                <w:szCs w:val="20"/>
              </w:rPr>
              <w:t xml:space="preserve">Session type</w:t>
            </w:r>
          </w:p>
        </w:tc>
        <w:tc>
          <w:tcPr>
            <w:tcW w:type="dxa" w:w="7500"/>
          </w:tcPr>
          <w:p>
            <w:r>
              <w:rPr>
                <w:sz w:val="20"/>
                <w:szCs w:val="20"/>
              </w:rPr>
              <w:t xml:space="preserve">Final</w:t>
            </w:r>
          </w:p>
        </w:tc>
      </w:tr>
      <w:tr>
        <w:tc>
          <w:tcPr>
            <w:tcW w:type="dxa" w:w="2500"/>
            <w:shd w:fill="F2F2F2" w:val="clear"/>
          </w:tcPr>
          <w:p>
            <w:r>
              <w:rPr>
                <w:b/>
                <w:bCs/>
                <w:sz w:val="20"/>
                <w:szCs w:val="20"/>
              </w:rPr>
              <w:t xml:space="preserve">Date</w:t>
            </w:r>
          </w:p>
        </w:tc>
        <w:tc>
          <w:tcPr>
            <w:tcW w:type="dxa" w:w="7500"/>
          </w:tcPr>
          <w:p>
            <w:r>
              <w:rPr>
                <w:sz w:val="20"/>
                <w:szCs w:val="20"/>
              </w:rPr>
              <w:t xml:space="preserve">February 25, 2026</w:t>
            </w:r>
          </w:p>
        </w:tc>
      </w:tr>
      <w:tr>
        <w:tc>
          <w:tcPr>
            <w:tcW w:type="dxa" w:w="2500"/>
            <w:shd w:fill="F2F2F2" w:val="clear"/>
          </w:tcPr>
          <w:p>
            <w:r>
              <w:rPr>
                <w:b/>
                <w:bCs/>
                <w:sz w:val="20"/>
                <w:szCs w:val="20"/>
              </w:rPr>
              <w:t xml:space="preserve">Attendees</w:t>
            </w:r>
          </w:p>
        </w:tc>
        <w:tc>
          <w:tcPr>
            <w:tcW w:type="dxa" w:w="7500"/>
          </w:tcPr>
          <w:p>
            <w:r>
              <w:rPr>
                <w:sz w:val="20"/>
                <w:szCs w:val="20"/>
              </w:rPr>
              <w:t xml:space="preserve">Sarah Whitfield (Partner), David Okoro (Manager), Priya Nair (Senior), Marcus Chen (Staff), Elena Vasquez (IT/Cyber Specialist)</w:t>
            </w:r>
          </w:p>
        </w:tc>
      </w:tr>
    </w:tbl>
    <w:p>
      <w:pPr>
        <w:spacing w:after="100" w:before="240"/>
      </w:pPr>
      <w:r>
        <w:rPr>
          <w:b/>
          <w:bCs/>
          <w:color w:val="1F3864"/>
          <w:sz w:val="22"/>
          <w:szCs w:val="22"/>
        </w:rPr>
        <w:t xml:space="preserve">Management override of controls</w:t>
      </w:r>
    </w:p>
    <w:p>
      <w:pPr>
        <w:pStyle w:val="ListParagraph"/>
        <w:numPr>
          <w:ilvl w:val="0"/>
          <w:numId w:val="1"/>
        </w:numPr>
        <w:spacing w:after="80"/>
      </w:pPr>
      <w:r>
        <w:rPr>
          <w:sz w:val="20"/>
          <w:szCs w:val="20"/>
        </w:rPr>
        <w:t xml:space="preserve">Reminded the team that per firm methodology, management override must always be considered a fraud risk regardless of the assessed strength of the control environment.</w:t>
      </w:r>
    </w:p>
    <w:p>
      <w:pPr>
        <w:pStyle w:val="ListParagraph"/>
        <w:numPr>
          <w:ilvl w:val="0"/>
          <w:numId w:val="1"/>
        </w:numPr>
        <w:spacing w:after="80"/>
      </w:pPr>
      <w:r>
        <w:rPr>
          <w:sz w:val="20"/>
          <w:szCs w:val="20"/>
        </w:rPr>
        <w:t xml:space="preserve">Discussed the parent-level manual JE approval deficiency (see below) as a potential override vector. No new instances of actual override observed during fieldwork to date beyond what's already been discussed.</w:t>
      </w:r>
    </w:p>
    <w:p>
      <w:pPr>
        <w:spacing w:after="100" w:before="240"/>
      </w:pPr>
      <w:r>
        <w:rPr>
          <w:b/>
          <w:bCs/>
          <w:color w:val="1F3864"/>
          <w:sz w:val="22"/>
          <w:szCs w:val="22"/>
        </w:rPr>
        <w:t xml:space="preserve">Prior-period continuity</w:t>
      </w:r>
    </w:p>
    <w:p>
      <w:pPr>
        <w:pStyle w:val="ListParagraph"/>
        <w:numPr>
          <w:ilvl w:val="0"/>
          <w:numId w:val="1"/>
        </w:numPr>
        <w:spacing w:after="80"/>
      </w:pPr>
      <w:r>
        <w:rPr>
          <w:sz w:val="20"/>
          <w:szCs w:val="20"/>
        </w:rPr>
        <w:t xml:space="preserve">Team confirmed the previously identified control deficiency in the review and approval process for manual journal entries exceeding $250,000 at the parent-company level remains relevant. Management indicated remediation was in progress.</w:t>
      </w:r>
    </w:p>
    <w:p>
      <w:pPr>
        <w:spacing w:after="100" w:before="240"/>
      </w:pPr>
      <w:r>
        <w:rPr>
          <w:b/>
          <w:bCs/>
          <w:color w:val="1F3864"/>
          <w:sz w:val="22"/>
          <w:szCs w:val="22"/>
        </w:rPr>
        <w:t xml:space="preserve">BEC incident — update</w:t>
      </w:r>
    </w:p>
    <w:p>
      <w:pPr>
        <w:pStyle w:val="ListParagraph"/>
        <w:numPr>
          <w:ilvl w:val="0"/>
          <w:numId w:val="1"/>
        </w:numPr>
        <w:spacing w:after="80"/>
      </w:pPr>
      <w:r>
        <w:rPr>
          <w:sz w:val="20"/>
          <w:szCs w:val="20"/>
        </w:rPr>
        <w:t xml:space="preserve">IT's investigation concluded the root cause was an external spoofed domain, not an internal compromise. No further IT action needed.</w:t>
      </w:r>
    </w:p>
    <w:p>
      <w:pPr>
        <w:pStyle w:val="ListParagraph"/>
        <w:numPr>
          <w:ilvl w:val="0"/>
          <w:numId w:val="1"/>
        </w:numPr>
        <w:spacing w:after="80"/>
      </w:pPr>
      <w:r>
        <w:rPr>
          <w:sz w:val="20"/>
          <w:szCs w:val="20"/>
        </w:rPr>
        <w:t xml:space="preserve">Sarah confirmed communication to those charged with governance occurred via the January 22 audit committee update.</w:t>
      </w:r>
    </w:p>
    <w:p>
      <w:pPr>
        <w:spacing w:after="100" w:before="240"/>
      </w:pPr>
      <w:r>
        <w:rPr>
          <w:b/>
          <w:bCs/>
          <w:color w:val="1F3864"/>
          <w:sz w:val="22"/>
          <w:szCs w:val="22"/>
        </w:rPr>
        <w:t xml:space="preserve">Ethics hotline complaint — update</w:t>
      </w:r>
    </w:p>
    <w:p>
      <w:pPr>
        <w:pStyle w:val="ListParagraph"/>
        <w:numPr>
          <w:ilvl w:val="0"/>
          <w:numId w:val="1"/>
        </w:numPr>
        <w:spacing w:after="80"/>
      </w:pPr>
      <w:r>
        <w:rPr>
          <w:sz w:val="20"/>
          <w:szCs w:val="20"/>
        </w:rPr>
        <w:t xml:space="preserve">Management's internal investigation (HR and Legal involved) is still ongoing as of this meeting. No conclusion reached.</w:t>
      </w:r>
    </w:p>
    <w:p>
      <w:pPr>
        <w:pStyle w:val="ListParagraph"/>
        <w:numPr>
          <w:ilvl w:val="0"/>
          <w:numId w:val="1"/>
        </w:numPr>
        <w:spacing w:after="80"/>
      </w:pPr>
      <w:r>
        <w:rPr>
          <w:sz w:val="20"/>
          <w:szCs w:val="20"/>
        </w:rPr>
        <w:t xml:space="preserve">Agreed this remains an open item and will need to be revisited before the memo is issued; final cutoff testing at Distribution Pacific will directly address the deferred-expense allegation.</w:t>
      </w:r>
    </w:p>
    <w:p>
      <w:pPr>
        <w:spacing w:after="100" w:before="240"/>
      </w:pPr>
      <w:r>
        <w:rPr>
          <w:b/>
          <w:bCs/>
          <w:color w:val="1F3864"/>
          <w:sz w:val="22"/>
          <w:szCs w:val="22"/>
        </w:rPr>
        <w:t xml:space="preserve">Related party CNC machine sale</w:t>
      </w:r>
    </w:p>
    <w:p>
      <w:pPr>
        <w:pStyle w:val="ListParagraph"/>
        <w:numPr>
          <w:ilvl w:val="0"/>
          <w:numId w:val="1"/>
        </w:numPr>
        <w:spacing w:after="80"/>
      </w:pPr>
      <w:r>
        <w:rPr>
          <w:sz w:val="20"/>
          <w:szCs w:val="20"/>
        </w:rPr>
        <w:t xml:space="preserve">No further fair value documentation has been obtained from management. Remains an open item for the manager to follow up on before sign-off.</w:t>
      </w:r>
    </w:p>
    <w:p>
      <w:pPr>
        <w:spacing w:after="100" w:before="240"/>
      </w:pPr>
      <w:r>
        <w:rPr>
          <w:b/>
          <w:bCs/>
          <w:color w:val="1F3864"/>
          <w:sz w:val="22"/>
          <w:szCs w:val="22"/>
        </w:rPr>
        <w:t xml:space="preserve">Revenue recognition</w:t>
      </w:r>
    </w:p>
    <w:p>
      <w:pPr>
        <w:pStyle w:val="ListParagraph"/>
        <w:numPr>
          <w:ilvl w:val="0"/>
          <w:numId w:val="1"/>
        </w:numPr>
        <w:spacing w:after="80"/>
      </w:pPr>
      <w:r>
        <w:rPr>
          <w:sz w:val="20"/>
          <w:szCs w:val="20"/>
        </w:rPr>
        <w:t xml:space="preserve">No change from planning — team's view remains that revenue recognition fraud risk is low given revenue is generally straightforward.</w:t>
      </w:r>
    </w:p>
    <w:p>
      <w:pPr>
        <w:spacing w:after="100" w:before="240"/>
      </w:pPr>
      <w:r>
        <w:rPr>
          <w:b/>
          <w:bCs/>
          <w:color w:val="1F3864"/>
          <w:sz w:val="22"/>
          <w:szCs w:val="22"/>
        </w:rPr>
        <w:t xml:space="preserve">Estimates</w:t>
      </w:r>
    </w:p>
    <w:p>
      <w:pPr>
        <w:pStyle w:val="ListParagraph"/>
        <w:numPr>
          <w:ilvl w:val="0"/>
          <w:numId w:val="1"/>
        </w:numPr>
        <w:spacing w:after="80"/>
      </w:pPr>
      <w:r>
        <w:rPr>
          <w:sz w:val="20"/>
          <w:szCs w:val="20"/>
        </w:rPr>
        <w:t xml:space="preserve">David noted in passing that the goodwill impairment model for the FinPay reporting unit has shown consistently favorable growth assumptions relative to actual results for the past three years. Not otherwise discussed at this meeting.</w:t>
      </w:r>
    </w:p>
    <w:p>
      <w:pPr>
        <w:spacing w:after="100" w:before="240"/>
      </w:pPr>
      <w:r>
        <w:rPr>
          <w:b/>
          <w:bCs/>
          <w:color w:val="1F3864"/>
          <w:sz w:val="22"/>
          <w:szCs w:val="22"/>
        </w:rPr>
        <w:t xml:space="preserve">Group / component summaries</w:t>
      </w:r>
    </w:p>
    <w:p>
      <w:pPr>
        <w:pStyle w:val="ListParagraph"/>
        <w:numPr>
          <w:ilvl w:val="0"/>
          <w:numId w:val="1"/>
        </w:numPr>
        <w:spacing w:after="80"/>
      </w:pPr>
      <w:r>
        <w:rPr>
          <w:sz w:val="20"/>
          <w:szCs w:val="20"/>
        </w:rPr>
        <w:t xml:space="preserve">Thornbury Manufacturing's fraud discussion summary received and reviewed — comprehensive, no concerns.</w:t>
      </w:r>
    </w:p>
    <w:p>
      <w:pPr>
        <w:pStyle w:val="ListParagraph"/>
        <w:numPr>
          <w:ilvl w:val="0"/>
          <w:numId w:val="1"/>
        </w:numPr>
        <w:spacing w:after="80"/>
      </w:pPr>
      <w:r>
        <w:rPr>
          <w:sz w:val="20"/>
          <w:szCs w:val="20"/>
        </w:rPr>
        <w:t xml:space="preserve">FinPay's auditor (Ferris &amp; Cole LLP) submitted a one-paragraph summary. David flagged it as thin and will follow up with them before we can accept it.</w:t>
      </w:r>
    </w:p>
    <w:p>
      <w:pPr>
        <w:pStyle w:val="ListParagraph"/>
        <w:numPr>
          <w:ilvl w:val="0"/>
          <w:numId w:val="1"/>
        </w:numPr>
        <w:spacing w:after="80"/>
      </w:pPr>
      <w:r>
        <w:rPr>
          <w:sz w:val="20"/>
          <w:szCs w:val="20"/>
        </w:rPr>
        <w:t xml:space="preserve">Distribution Pacific's component fraud discussion summary has still not been received. David to chase before we can finalize.</w:t>
      </w:r>
    </w:p>
    <w:p>
      <w:pPr>
        <w:spacing w:after="100" w:before="240"/>
      </w:pPr>
      <w:r>
        <w:rPr>
          <w:b/>
          <w:bCs/>
          <w:color w:val="1F3864"/>
          <w:sz w:val="22"/>
          <w:szCs w:val="22"/>
        </w:rPr>
        <w:t xml:space="preserve">Unpredictability — confirmation</w:t>
      </w:r>
    </w:p>
    <w:p>
      <w:pPr>
        <w:pStyle w:val="ListParagraph"/>
        <w:numPr>
          <w:ilvl w:val="0"/>
          <w:numId w:val="1"/>
        </w:numPr>
        <w:spacing w:after="80"/>
      </w:pPr>
      <w:r>
        <w:rPr>
          <w:sz w:val="20"/>
          <w:szCs w:val="20"/>
        </w:rPr>
        <w:t xml:space="preserve">The unannounced Distribution Pacific site visit agreed at the interim session was carried out in early February as planned.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2026-09-12T04:26:27.121Z</dcterms:created>
  <dcterms:modified xsi:type="dcterms:W3CDTF">2026-09-12T04:26:27.121Z</dcterms:modified>
</cp:coreProperties>
</file>

<file path=docProps/custom.xml><?xml version="1.0" encoding="utf-8"?>
<Properties xmlns="http://schemas.openxmlformats.org/officeDocument/2006/custom-properties" xmlns:vt="http://schemas.openxmlformats.org/officeDocument/2006/docPropsVTypes"/>
</file>