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28"/>
          <w:szCs w:val="28"/>
        </w:rPr>
        <w:t xml:space="preserve">Thornbury Industrial Group Inc.</w:t>
      </w:r>
    </w:p>
    <w:p>
      <w:pPr>
        <w:spacing w:after="60" w:before="60"/>
      </w:pPr>
      <w:r>
        <w:rPr>
          <w:b/>
          <w:bCs/>
          <w:color w:val="1F3864"/>
          <w:sz w:val="24"/>
          <w:szCs w:val="24"/>
        </w:rPr>
        <w:t xml:space="preserve">Fraud Risk Discussion — Interim Session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Raw meeting notes, not yet formatted into the memo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Interim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January 20, 2026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Sarah Whitfield (Partner), David Okoro (Manager), Priya Nair (Senior)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Follow-up: BEC incident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Brief update only — funds remain frozen/recovered, IT investigation still ongoing, no root-cause conclusion yet.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New item: ethics hotline complaint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Group's ethics hotline logged an anonymous complaint on January 8, 2026 alleging that Distribution Pacific's CFO pressured the local finance team to defer roughly $180,000 of Q4 expense recognition into Q1 2026 — apparently to help the component hit its Q4 budget target ahead of the group's February 2026 covenant test.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Team agreed this needs to be escalated and that period-end cutoff testing at Distribution Pacific should specifically address the allegation.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Unpredictability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Given the covenant pressure at Distribution Pacific, agreed to send Marcus for an unannounced count / site visit at the Pacific warehouse in early February, instead of the previously scheduled and communicated March visit.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Related party / significant unusual transaction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David flagged that Thornbury Manufacturing sold a fully depreciated CNC machine to a company called Ridgeline Fabrication Co. in December for $85,000. David noted Ridgeline's owner is the brother-in-law of Thornbury Manufacturing's plant GM. Deal closed December 28, 2025.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No further discussion of fair value support for the sale price at this time — noted to follow 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2026-09-12T04:14:26.054Z</dcterms:created>
  <dcterms:modified xsi:type="dcterms:W3CDTF">2026-09-12T04:14:26.054Z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