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3864"/>
          <w:sz w:val="28"/>
          <w:szCs w:val="28"/>
        </w:rPr>
        <w:t xml:space="preserve">Thornbury Industrial Group Inc.</w:t>
      </w:r>
    </w:p>
    <w:p>
      <w:pPr>
        <w:spacing w:after="60" w:before="60"/>
      </w:pPr>
      <w:r>
        <w:rPr>
          <w:b/>
          <w:bCs/>
          <w:color w:val="1F3864"/>
          <w:sz w:val="24"/>
          <w:szCs w:val="24"/>
        </w:rPr>
        <w:t xml:space="preserve">Fraud Risk Discussion — Planning Session</w:t>
      </w:r>
    </w:p>
    <w:p>
      <w:pPr>
        <w:spacing w:after="200"/>
      </w:pPr>
      <w:r>
        <w:rPr>
          <w:i/>
          <w:iCs/>
          <w:color w:val="595959"/>
          <w:sz w:val="20"/>
          <w:szCs w:val="20"/>
        </w:rPr>
        <w:t xml:space="preserve">Raw meeting notes, not yet formatted into the memo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dxa" w:w="2500"/>
            <w:shd w:fill="F2F2F2" w:val="clear"/>
          </w:tcPr>
          <w:p>
            <w:r>
              <w:rPr>
                <w:b/>
                <w:bCs/>
                <w:sz w:val="20"/>
                <w:szCs w:val="20"/>
              </w:rPr>
              <w:t xml:space="preserve">Session type</w:t>
            </w:r>
          </w:p>
        </w:tc>
        <w:tc>
          <w:tcPr>
            <w:tcW w:type="dxa" w:w="7500"/>
          </w:tcPr>
          <w:p>
            <w:r>
              <w:rPr>
                <w:sz w:val="20"/>
                <w:szCs w:val="20"/>
              </w:rPr>
              <w:t xml:space="preserve">Planning</w:t>
            </w:r>
          </w:p>
        </w:tc>
      </w:tr>
      <w:tr>
        <w:tc>
          <w:tcPr>
            <w:tcW w:type="dxa" w:w="2500"/>
            <w:shd w:fill="F2F2F2" w:val="clear"/>
          </w:tcPr>
          <w:p>
            <w:r>
              <w:rPr>
                <w:b/>
                <w:bCs/>
                <w:sz w:val="20"/>
                <w:szCs w:val="20"/>
              </w:rPr>
              <w:t xml:space="preserve">Date</w:t>
            </w:r>
          </w:p>
        </w:tc>
        <w:tc>
          <w:tcPr>
            <w:tcW w:type="dxa" w:w="7500"/>
          </w:tcPr>
          <w:p>
            <w:r>
              <w:rPr>
                <w:sz w:val="20"/>
                <w:szCs w:val="20"/>
              </w:rPr>
              <w:t xml:space="preserve">November 3, 2025</w:t>
            </w:r>
          </w:p>
        </w:tc>
      </w:tr>
      <w:tr>
        <w:tc>
          <w:tcPr>
            <w:tcW w:type="dxa" w:w="2500"/>
            <w:shd w:fill="F2F2F2" w:val="clear"/>
          </w:tcPr>
          <w:p>
            <w:r>
              <w:rPr>
                <w:b/>
                <w:bCs/>
                <w:sz w:val="20"/>
                <w:szCs w:val="20"/>
              </w:rPr>
              <w:t xml:space="preserve">Attendees</w:t>
            </w:r>
          </w:p>
        </w:tc>
        <w:tc>
          <w:tcPr>
            <w:tcW w:type="dxa" w:w="7500"/>
          </w:tcPr>
          <w:p>
            <w:r>
              <w:rPr>
                <w:sz w:val="20"/>
                <w:szCs w:val="20"/>
              </w:rPr>
              <w:t xml:space="preserve">Sarah Whitfield (Partner), David Okoro (Manager), Priya Nair (Senior), Marcus Chen (Staff)</w:t>
            </w:r>
          </w:p>
        </w:tc>
      </w:tr>
      <w:tr>
        <w:tc>
          <w:tcPr>
            <w:tcW w:type="dxa" w:w="2500"/>
            <w:shd w:fill="F2F2F2" w:val="clear"/>
          </w:tcPr>
          <w:p>
            <w:r>
              <w:rPr>
                <w:b/>
                <w:bCs/>
                <w:sz w:val="20"/>
                <w:szCs w:val="20"/>
              </w:rPr>
              <w:t xml:space="preserve">Notes taken by</w:t>
            </w:r>
          </w:p>
        </w:tc>
        <w:tc>
          <w:tcPr>
            <w:tcW w:type="dxa" w:w="7500"/>
          </w:tcPr>
          <w:p>
            <w:r>
              <w:rPr>
                <w:sz w:val="20"/>
                <w:szCs w:val="20"/>
              </w:rPr>
              <w:t xml:space="preserve">Priya Nair</w:t>
            </w:r>
          </w:p>
        </w:tc>
      </w:tr>
    </w:tbl>
    <w:p>
      <w:pPr>
        <w:spacing w:after="100" w:before="240"/>
      </w:pPr>
      <w:r>
        <w:rPr>
          <w:b/>
          <w:bCs/>
          <w:color w:val="1F3864"/>
          <w:sz w:val="22"/>
          <w:szCs w:val="22"/>
        </w:rPr>
        <w:t xml:space="preserve">General</w:t>
      </w:r>
    </w:p>
    <w:p>
      <w:pPr>
        <w:pStyle w:val="ListParagraph"/>
        <w:numPr>
          <w:ilvl w:val="0"/>
          <w:numId w:val="1"/>
        </w:numPr>
        <w:spacing w:after="80"/>
      </w:pPr>
      <w:r>
        <w:rPr>
          <w:sz w:val="20"/>
          <w:szCs w:val="20"/>
        </w:rPr>
        <w:t xml:space="preserve">Sarah opened by reminding everyone to set aside what we know about management from prior years and approach this with a fresh, skeptical mindset.</w:t>
      </w:r>
    </w:p>
    <w:p>
      <w:pPr>
        <w:spacing w:after="100" w:before="240"/>
      </w:pPr>
      <w:r>
        <w:rPr>
          <w:b/>
          <w:bCs/>
          <w:color w:val="1F3864"/>
          <w:sz w:val="22"/>
          <w:szCs w:val="22"/>
        </w:rPr>
        <w:t xml:space="preserve">Fraudulent financial reporting / revenue</w:t>
      </w:r>
    </w:p>
    <w:p>
      <w:pPr>
        <w:pStyle w:val="ListParagraph"/>
        <w:numPr>
          <w:ilvl w:val="0"/>
          <w:numId w:val="1"/>
        </w:numPr>
        <w:spacing w:after="80"/>
      </w:pPr>
      <w:r>
        <w:rPr>
          <w:sz w:val="20"/>
          <w:szCs w:val="20"/>
        </w:rPr>
        <w:t xml:space="preserve">Discussed that Thornbury Manufacturing's contracts often bundle equipment, installation, and service — creates judgment in how transaction price gets allocated across those elements.</w:t>
      </w:r>
    </w:p>
    <w:p>
      <w:pPr>
        <w:pStyle w:val="ListParagraph"/>
        <w:numPr>
          <w:ilvl w:val="0"/>
          <w:numId w:val="1"/>
        </w:numPr>
        <w:spacing w:after="80"/>
      </w:pPr>
      <w:r>
        <w:rPr>
          <w:sz w:val="20"/>
          <w:szCs w:val="20"/>
        </w:rPr>
        <w:t xml:space="preserve">Also touched on FinPay's transaction-fee revenue — timing of when fees are recognized relative to when the underlying payment settles.</w:t>
      </w:r>
    </w:p>
    <w:p>
      <w:pPr>
        <w:pStyle w:val="ListParagraph"/>
        <w:numPr>
          <w:ilvl w:val="0"/>
          <w:numId w:val="1"/>
        </w:numPr>
        <w:spacing w:after="80"/>
      </w:pPr>
      <w:r>
        <w:rPr>
          <w:sz w:val="20"/>
          <w:szCs w:val="20"/>
        </w:rPr>
        <w:t xml:space="preserve">Team agreed revenue recognition fraud risk is low given revenue is generally straightforward and recognized on delivery. No further breakdown discussed.</w:t>
      </w:r>
    </w:p>
    <w:p>
      <w:pPr>
        <w:spacing w:after="100" w:before="240"/>
      </w:pPr>
      <w:r>
        <w:rPr>
          <w:b/>
          <w:bCs/>
          <w:color w:val="1F3864"/>
          <w:sz w:val="22"/>
          <w:szCs w:val="22"/>
        </w:rPr>
        <w:t xml:space="preserve">Misappropriation of assets</w:t>
      </w:r>
    </w:p>
    <w:p>
      <w:pPr>
        <w:pStyle w:val="ListParagraph"/>
        <w:numPr>
          <w:ilvl w:val="0"/>
          <w:numId w:val="1"/>
        </w:numPr>
        <w:spacing w:after="80"/>
      </w:pPr>
      <w:r>
        <w:rPr>
          <w:sz w:val="20"/>
          <w:szCs w:val="20"/>
        </w:rPr>
        <w:t xml:space="preserve">Brief mention of some inventory shrink noted at the Distribution Pacific warehouse in Q3 reporting. Nobody had more detail on this yet — flagged to follow up during fieldwork.</w:t>
      </w:r>
    </w:p>
    <w:p>
      <w:pPr>
        <w:spacing w:after="100" w:before="240"/>
      </w:pPr>
      <w:r>
        <w:rPr>
          <w:b/>
          <w:bCs/>
          <w:color w:val="1F3864"/>
          <w:sz w:val="22"/>
          <w:szCs w:val="22"/>
        </w:rPr>
        <w:t xml:space="preserve">Fraud triangle factors</w:t>
      </w:r>
    </w:p>
    <w:p>
      <w:pPr>
        <w:pStyle w:val="ListParagraph"/>
        <w:numPr>
          <w:ilvl w:val="0"/>
          <w:numId w:val="1"/>
        </w:numPr>
        <w:spacing w:after="80"/>
      </w:pPr>
      <w:r>
        <w:rPr>
          <w:sz w:val="20"/>
          <w:szCs w:val="20"/>
        </w:rPr>
        <w:t xml:space="preserve">Priya raised that Distribution Pacific has missed budget for three straight quarters, and there's real pressure from the CFO to hit Q4 numbers given the covenant test coming up in February 2026.</w:t>
      </w:r>
    </w:p>
    <w:p>
      <w:pPr>
        <w:spacing w:after="100" w:before="240"/>
      </w:pPr>
      <w:r>
        <w:rPr>
          <w:b/>
          <w:bCs/>
          <w:color w:val="1F3864"/>
          <w:sz w:val="22"/>
          <w:szCs w:val="22"/>
        </w:rPr>
        <w:t xml:space="preserve">Prior-period continuity</w:t>
      </w:r>
    </w:p>
    <w:p>
      <w:pPr>
        <w:pStyle w:val="ListParagraph"/>
        <w:numPr>
          <w:ilvl w:val="0"/>
          <w:numId w:val="1"/>
        </w:numPr>
        <w:spacing w:after="80"/>
      </w:pPr>
      <w:r>
        <w:rPr>
          <w:sz w:val="20"/>
          <w:szCs w:val="20"/>
        </w:rPr>
        <w:t xml:space="preserve">The team noted the previously identified control deficiency in the review and approval process for manual journal entries exceeding $250,000 at the parent-company level remains relevant. Management indicated remediation was in progress.</w:t>
      </w:r>
    </w:p>
    <w:p>
      <w:pPr>
        <w:spacing w:after="100" w:before="240"/>
      </w:pPr>
      <w:r>
        <w:rPr>
          <w:b/>
          <w:bCs/>
          <w:color w:val="1F3864"/>
          <w:sz w:val="22"/>
          <w:szCs w:val="22"/>
        </w:rPr>
        <w:t xml:space="preserve">IT / cyber / EUC</w:t>
      </w:r>
    </w:p>
    <w:p>
      <w:pPr>
        <w:pStyle w:val="ListParagraph"/>
        <w:numPr>
          <w:ilvl w:val="0"/>
          <w:numId w:val="1"/>
        </w:numPr>
        <w:spacing w:after="80"/>
      </w:pPr>
      <w:r>
        <w:rPr>
          <w:sz w:val="20"/>
          <w:szCs w:val="20"/>
        </w:rPr>
        <w:t xml:space="preserve">Elena to follow up on general ITGC testing at both Thornbury Manufacturing and FinPay.</w:t>
      </w:r>
    </w:p>
    <w:p>
      <w:pPr>
        <w:pStyle w:val="ListParagraph"/>
        <w:numPr>
          <w:ilvl w:val="0"/>
          <w:numId w:val="1"/>
        </w:numPr>
        <w:spacing w:after="80"/>
      </w:pPr>
      <w:r>
        <w:rPr>
          <w:sz w:val="20"/>
          <w:szCs w:val="20"/>
        </w:rPr>
        <w:t xml:space="preserve">Noted the goodwill impairment model for the FinPay reporting unit is maintained in a standalone Excel file by the CFO's team.</w:t>
      </w:r>
    </w:p>
    <w:p>
      <w:pPr>
        <w:spacing w:after="100" w:before="240"/>
      </w:pPr>
      <w:r>
        <w:rPr>
          <w:b/>
          <w:bCs/>
          <w:color w:val="1F3864"/>
          <w:sz w:val="22"/>
          <w:szCs w:val="22"/>
        </w:rPr>
        <w:t xml:space="preserve">Group / component coordination</w:t>
      </w:r>
    </w:p>
    <w:p>
      <w:pPr>
        <w:pStyle w:val="ListParagraph"/>
        <w:numPr>
          <w:ilvl w:val="0"/>
          <w:numId w:val="1"/>
        </w:numPr>
        <w:spacing w:after="80"/>
      </w:pPr>
      <w:r>
        <w:rPr>
          <w:sz w:val="20"/>
          <w:szCs w:val="20"/>
        </w:rPr>
        <w:t xml:space="preserve">Agreed to request fraud discussion summaries from Thornbury Manufacturing (in-network) and from FinPay's auditor, Ferris &amp; Cole LLP (non-network), per the usual group instructions.</w:t>
      </w:r>
    </w:p>
    <w:p>
      <w:pPr>
        <w:pStyle w:val="ListParagraph"/>
        <w:numPr>
          <w:ilvl w:val="0"/>
          <w:numId w:val="1"/>
        </w:numPr>
        <w:spacing w:after="80"/>
      </w:pPr>
      <w:r>
        <w:rPr>
          <w:sz w:val="20"/>
          <w:szCs w:val="20"/>
        </w:rPr>
        <w:t xml:space="preserve">Distribution Pacific's fraud discussion summary to be requested through the usual component instructions letter as well.</w:t>
      </w:r>
    </w:p>
    <w:p>
      <w:pPr>
        <w:spacing w:after="100" w:before="240"/>
      </w:pPr>
      <w:r>
        <w:rPr>
          <w:b/>
          <w:bCs/>
          <w:color w:val="1F3864"/>
          <w:sz w:val="22"/>
          <w:szCs w:val="22"/>
        </w:rPr>
        <w:t xml:space="preserve">Other items</w:t>
      </w:r>
    </w:p>
    <w:p>
      <w:pPr>
        <w:pStyle w:val="ListParagraph"/>
        <w:numPr>
          <w:ilvl w:val="0"/>
          <w:numId w:val="1"/>
        </w:numPr>
        <w:spacing w:after="80"/>
      </w:pPr>
      <w:r>
        <w:rPr>
          <w:sz w:val="20"/>
          <w:szCs w:val="20"/>
        </w:rPr>
        <w:t xml:space="preserve">No known or suspected fraud instances at this time.</w:t>
      </w:r>
    </w:p>
    <w:p>
      <w:pPr>
        <w:pStyle w:val="ListParagraph"/>
        <w:numPr>
          <w:ilvl w:val="0"/>
          <w:numId w:val="1"/>
        </w:numPr>
        <w:spacing w:after="80"/>
      </w:pPr>
      <w:r>
        <w:rPr>
          <w:sz w:val="20"/>
          <w:szCs w:val="20"/>
        </w:rPr>
        <w:t xml:space="preserve">Site visit timing for Distribution Pacific tentatively planned for March, per the standard rotation.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2026-09-12T04:26:27.077Z</dcterms:created>
  <dcterms:modified xsi:type="dcterms:W3CDTF">2026-09-12T04:26:27.088Z</dcterms:modified>
</cp:coreProperties>
</file>

<file path=docProps/custom.xml><?xml version="1.0" encoding="utf-8"?>
<Properties xmlns="http://schemas.openxmlformats.org/officeDocument/2006/custom-properties" xmlns:vt="http://schemas.openxmlformats.org/officeDocument/2006/docPropsVTypes"/>
</file>