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Thornbury Industrial Group Inc. — Fraud Discussion Among the Engagement Team Checklist (Interim)</w:t>
      </w:r>
    </w:p>
    <w:p>
      <w:r>
        <w:rPr>
          <w:i/>
        </w:rPr>
        <w:t>Reminder: set aside any prior beliefs about management's honesty and integrity before starting this discussion (ISA 240.15).</w:t>
      </w:r>
    </w:p>
    <w:p>
      <w:r>
        <w:rPr>
          <w:b/>
          <w:color w:val="1F3864"/>
          <w:sz w:val="24"/>
        </w:rPr>
        <w:t>Framing</w:t>
      </w:r>
    </w:p>
    <w:p>
      <w:r>
        <w:t>☐ A1 — Explicit reminder to set aside prior beliefs about management's honesty and integrity</w:t>
      </w:r>
    </w:p>
    <w:p>
      <w:r>
        <w:t>☐ A2 — Susceptibility to fraudulent financial reporting (where/how)</w:t>
      </w:r>
    </w:p>
    <w:p>
      <w:r>
        <w:t>☐ A3 — Susceptibility to misappropriation of assets (where/how)</w:t>
      </w:r>
    </w:p>
    <w:p>
      <w:r>
        <w:rPr>
          <w:b/>
          <w:color w:val="1F3864"/>
          <w:sz w:val="24"/>
        </w:rPr>
        <w:t>Presumptions</w:t>
      </w:r>
    </w:p>
    <w:p>
      <w:r>
        <w:t>☐ B1 — Revenue recognition fraud risk, addressed at the scheme level (channel stuffing, bill-and-hold, side letters, multi-element/variable-consideration arrangements). If rebutted, rationale must tie to a specific revenue stream.</w:t>
      </w:r>
    </w:p>
    <w:p>
      <w:r>
        <w:t>☐ B2 — Management override of controls, addressed as always present regardless of assessed control environment strength; explicit consideration of manual and top-side/consolidating entries</w:t>
      </w:r>
    </w:p>
    <w:p>
      <w:r>
        <w:rPr>
          <w:b/>
          <w:color w:val="1F3864"/>
          <w:sz w:val="24"/>
        </w:rPr>
        <w:t>Fraud Triangle</w:t>
      </w:r>
    </w:p>
    <w:p>
      <w:r>
        <w:t>☐ C1 — Incentive/pressure factors</w:t>
      </w:r>
    </w:p>
    <w:p>
      <w:r>
        <w:t>☐ C2 — Opportunity factors</w:t>
      </w:r>
    </w:p>
    <w:p>
      <w:r>
        <w:t>☐ C3 — Rationalization factors</w:t>
      </w:r>
    </w:p>
    <w:p>
      <w:r>
        <w:rPr>
          <w:b/>
          <w:color w:val="1F3864"/>
          <w:sz w:val="24"/>
        </w:rPr>
        <w:t>Continuity</w:t>
      </w:r>
    </w:p>
    <w:p>
      <w:r>
        <w:t>☐ D1 — Prior-period fraud or error findings and management's remediation status</w:t>
      </w:r>
    </w:p>
    <w:p>
      <w:r>
        <w:rPr>
          <w:b/>
          <w:color w:val="1F3864"/>
          <w:sz w:val="24"/>
        </w:rPr>
        <w:t>Known Fraud</w:t>
      </w:r>
    </w:p>
    <w:p>
      <w:r>
        <w:t>☐ E1 — Any known or suspected fraud instances</w:t>
      </w:r>
    </w:p>
    <w:p>
      <w:r>
        <w:t>☐ E2 — Specific inquiry into whether the client's whistleblower/ethics hotline has logged complaints, and their disposition</w:t>
      </w:r>
    </w:p>
    <w:p>
      <w:r>
        <w:rPr>
          <w:b/>
          <w:color w:val="1F3864"/>
          <w:sz w:val="24"/>
        </w:rPr>
        <w:t>IT-Cyber-EUC</w:t>
      </w:r>
    </w:p>
    <w:p>
      <w:r>
        <w:t>☐ F1 — IT/cyber fraud risk — general access-control and data-manipulation exposure</w:t>
      </w:r>
    </w:p>
    <w:p>
      <w:r>
        <w:t>☐ F2 — Business email compromise / fraudulent wire-transfer exposure (expanded when cyber_exposure_flag is set)</w:t>
      </w:r>
    </w:p>
    <w:p>
      <w:r>
        <w:t>☐ F3 — End-user-computing / spreadsheet override risk in significant estimates or consolidation</w:t>
      </w:r>
    </w:p>
    <w:p>
      <w:r>
        <w:rPr>
          <w:b/>
          <w:color w:val="1F3864"/>
          <w:sz w:val="24"/>
        </w:rPr>
        <w:t>Unpredictability</w:t>
      </w:r>
    </w:p>
    <w:p>
      <w:r>
        <w:t>☐ G1 — At least one specific unpredictability element for this engagement</w:t>
      </w:r>
    </w:p>
    <w:p>
      <w:r>
        <w:rPr>
          <w:b/>
          <w:color w:val="1F3864"/>
          <w:sz w:val="24"/>
        </w:rPr>
        <w:t>Related Parties &amp; SUTs</w:t>
      </w:r>
    </w:p>
    <w:p>
      <w:r>
        <w:t>☐ H1 — Related-party relationships and transactions, including any structured to obscure the related-party nature</w:t>
      </w:r>
    </w:p>
    <w:p>
      <w:r>
        <w:t>☐ H2 — Significant unusual transactions, particularly near period-end, outside the normal course of business, or with unusual terms</w:t>
      </w:r>
    </w:p>
    <w:p>
      <w:r>
        <w:rPr>
          <w:b/>
          <w:color w:val="1F3864"/>
          <w:sz w:val="24"/>
        </w:rPr>
        <w:t>Estimates</w:t>
      </w:r>
    </w:p>
    <w:p>
      <w:r>
        <w:t>☐ I1 — Key estimates susceptible to management bias (impairment, ECL/allowance, reserves, contract assets/costs) and whether a pattern of bias was discussed</w:t>
      </w:r>
    </w:p>
    <w:p>
      <w:r>
        <w:rPr>
          <w:b/>
          <w:color w:val="1F3864"/>
          <w:sz w:val="24"/>
        </w:rPr>
        <w:t>Group</w:t>
      </w:r>
    </w:p>
    <w:p>
      <w:r>
        <w:t>☐ J1 — Fraud risk factors communicated from group team to component auditors</w:t>
      </w:r>
    </w:p>
    <w:p>
      <w:r>
        <w:t>☐ J2 — Fraud risk factors communicated from component auditors back to group team, with group-team adequacy review recorded</w:t>
      </w:r>
    </w:p>
    <w:p>
      <w:r>
        <w:t>☐ J3 — Any component with a fraud risk factor requiring group-level response</w:t>
      </w:r>
    </w:p>
    <w:p>
      <w:r>
        <w:t>☐ J4 — Top-side/consolidating-entry risk at the group level specifically</w:t>
      </w:r>
    </w:p>
    <w:p>
      <w:r>
        <w:rPr>
          <w:b/>
          <w:color w:val="1F3864"/>
          <w:sz w:val="24"/>
        </w:rPr>
        <w:t>Industry-Specific Scheme Prompts</w:t>
      </w:r>
    </w:p>
    <w:p>
      <w:r>
        <w:t>☐ Multi-element revenue allocation</w:t>
      </w:r>
    </w:p>
    <w:p>
      <w:r>
        <w:t>☐ Inventory valuation / shrink concealment</w:t>
      </w:r>
    </w:p>
    <w:p>
      <w:r>
        <w:t>☐ Bill-and-hold arrangements</w:t>
      </w:r>
    </w:p>
    <w:p>
      <w:r>
        <w:t>☐ Payment-processing fee timing</w:t>
      </w:r>
    </w:p>
    <w:p>
      <w:r>
        <w:t>☐ Business email compromise / fraudulent wire transfer</w:t>
      </w:r>
    </w:p>
    <w:p>
      <w:r>
        <w:rPr>
          <w:b/>
          <w:color w:val="1F3864"/>
          <w:sz w:val="24"/>
        </w:rPr>
        <w:t>Prior-Year Carryforward</w:t>
      </w:r>
    </w:p>
    <w:p>
      <w:r>
        <w:t>☐ See 'Prior-Year Memo Excerpt' tab — parent-level manual JE approval control deficiency, FY2024 — has this been remediated? Get a specific status, not a repeat of last year's wording.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