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6"/>
        </w:rPr>
        <w:t>DRAFT — Open Items Pending</w:t>
      </w:r>
    </w:p>
    <w:p>
      <w:r>
        <w:rPr>
          <w:b/>
          <w:color w:val="1F3864"/>
          <w:sz w:val="36"/>
        </w:rPr>
        <w:t>Thornbury Industrial Group Inc.</w:t>
      </w:r>
    </w:p>
    <w:p>
      <w:r>
        <w:rPr>
          <w:b/>
          <w:sz w:val="26"/>
        </w:rPr>
        <w:t>Fraud Risk Brainstorming Memo — Fiscal Year Ended December 31, 2025</w:t>
      </w:r>
    </w:p>
    <w:p>
      <w:r>
        <w:rPr>
          <w:b w:val="0"/>
          <w:i/>
          <w:color w:val="595959"/>
          <w:sz w:val="19"/>
        </w:rPr>
        <w:t>Framework: ISA  |  Complexity tier: group  |  Public-interest entity: Yes  |  Engagement year: recurring</w:t>
      </w:r>
    </w:p>
    <w:p>
      <w:pPr>
        <w:spacing w:before="240" w:after="80"/>
      </w:pPr>
      <w:r>
        <w:rPr>
          <w:b/>
          <w:color w:val="1F3864"/>
          <w:sz w:val="24"/>
        </w:rPr>
        <w:t>Discussion Among the Engagement Team(s) Logged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Session</w:t>
            </w:r>
          </w:p>
        </w:tc>
        <w:tc>
          <w:tcPr>
            <w:tcW w:type="dxa" w:w="2160"/>
          </w:tcPr>
          <w:p>
            <w:r>
              <w:t>Type</w:t>
            </w:r>
          </w:p>
        </w:tc>
        <w:tc>
          <w:tcPr>
            <w:tcW w:type="dxa" w:w="2160"/>
          </w:tcPr>
          <w:p>
            <w:r>
              <w:t>Date</w:t>
            </w:r>
          </w:p>
        </w:tc>
        <w:tc>
          <w:tcPr>
            <w:tcW w:type="dxa" w:w="2160"/>
          </w:tcPr>
          <w:p>
            <w:r>
              <w:t>Attendees</w:t>
            </w:r>
          </w:p>
        </w:tc>
      </w:tr>
      <w:tr>
        <w:tc>
          <w:tcPr>
            <w:tcW w:type="dxa" w:w="2160"/>
          </w:tcPr>
          <w:p>
            <w:r>
              <w:t>S1</w:t>
            </w:r>
          </w:p>
        </w:tc>
        <w:tc>
          <w:tcPr>
            <w:tcW w:type="dxa" w:w="2160"/>
          </w:tcPr>
          <w:p>
            <w:r>
              <w:t>planning</w:t>
            </w:r>
          </w:p>
        </w:tc>
        <w:tc>
          <w:tcPr>
            <w:tcW w:type="dxa" w:w="2160"/>
          </w:tcPr>
          <w:p>
            <w:r>
              <w:t>2025-11-03</w:t>
            </w:r>
          </w:p>
        </w:tc>
        <w:tc>
          <w:tcPr>
            <w:tcW w:type="dxa" w:w="2160"/>
          </w:tcPr>
          <w:p>
            <w:r>
              <w:t>Whitfield (Partner); Okoro (Manager); Nair (Senior); Chen (Staff)</w:t>
            </w:r>
          </w:p>
        </w:tc>
      </w:tr>
      <w:tr>
        <w:tc>
          <w:tcPr>
            <w:tcW w:type="dxa" w:w="2160"/>
          </w:tcPr>
          <w:p>
            <w:r>
              <w:t>S2</w:t>
            </w:r>
          </w:p>
        </w:tc>
        <w:tc>
          <w:tcPr>
            <w:tcW w:type="dxa" w:w="2160"/>
          </w:tcPr>
          <w:p>
            <w:r>
              <w:t>ad-hoc (Suspected business email compromise / fraudulent wire transfer attempt at Meridian FinPay)</w:t>
            </w:r>
          </w:p>
        </w:tc>
        <w:tc>
          <w:tcPr>
            <w:tcW w:type="dxa" w:w="2160"/>
          </w:tcPr>
          <w:p>
            <w:r>
              <w:t>2026-01-14</w:t>
            </w:r>
          </w:p>
        </w:tc>
        <w:tc>
          <w:tcPr>
            <w:tcW w:type="dxa" w:w="2160"/>
          </w:tcPr>
          <w:p>
            <w:r>
              <w:t>Whitfield (Partner); Okoro (Manager); Vasquez (IT/Cyber)</w:t>
            </w:r>
          </w:p>
        </w:tc>
      </w:tr>
      <w:tr>
        <w:tc>
          <w:tcPr>
            <w:tcW w:type="dxa" w:w="2160"/>
          </w:tcPr>
          <w:p>
            <w:r>
              <w:t>S3</w:t>
            </w:r>
          </w:p>
        </w:tc>
        <w:tc>
          <w:tcPr>
            <w:tcW w:type="dxa" w:w="2160"/>
          </w:tcPr>
          <w:p>
            <w:r>
              <w:t>interim</w:t>
            </w:r>
          </w:p>
        </w:tc>
        <w:tc>
          <w:tcPr>
            <w:tcW w:type="dxa" w:w="2160"/>
          </w:tcPr>
          <w:p>
            <w:r>
              <w:t>2026-01-20</w:t>
            </w:r>
          </w:p>
        </w:tc>
        <w:tc>
          <w:tcPr>
            <w:tcW w:type="dxa" w:w="2160"/>
          </w:tcPr>
          <w:p>
            <w:r>
              <w:t>Whitfield (Partner); Okoro (Manager); Nair (Senior)</w:t>
            </w:r>
          </w:p>
        </w:tc>
      </w:tr>
      <w:tr>
        <w:tc>
          <w:tcPr>
            <w:tcW w:type="dxa" w:w="2160"/>
          </w:tcPr>
          <w:p>
            <w:r>
              <w:t>S4</w:t>
            </w:r>
          </w:p>
        </w:tc>
        <w:tc>
          <w:tcPr>
            <w:tcW w:type="dxa" w:w="2160"/>
          </w:tcPr>
          <w:p>
            <w:r>
              <w:t>final</w:t>
            </w:r>
          </w:p>
        </w:tc>
        <w:tc>
          <w:tcPr>
            <w:tcW w:type="dxa" w:w="2160"/>
          </w:tcPr>
          <w:p>
            <w:r>
              <w:t>2026-02-25</w:t>
            </w:r>
          </w:p>
        </w:tc>
        <w:tc>
          <w:tcPr>
            <w:tcW w:type="dxa" w:w="2160"/>
          </w:tcPr>
          <w:p>
            <w:r>
              <w:t>Whitfield (Partner); Okoro (Manager); Nair (Senior); Chen (Staff); Vasquez (IT/Cyber)</w:t>
            </w:r>
          </w:p>
        </w:tc>
      </w:tr>
    </w:tbl>
    <w:p>
      <w:r>
        <w:rPr>
          <w:b w:val="0"/>
          <w:i/>
          <w:color w:val="595959"/>
          <w:sz w:val="18"/>
        </w:rPr>
        <w:t>Documentation requirement: ISA 240.44.</w:t>
      </w:r>
    </w:p>
    <w:p>
      <w:pPr>
        <w:spacing w:before="240" w:after="80"/>
      </w:pPr>
      <w:r>
        <w:rPr>
          <w:b/>
          <w:color w:val="1F3864"/>
          <w:sz w:val="28"/>
        </w:rPr>
        <w:t>Framing</w:t>
      </w:r>
    </w:p>
    <w:p>
      <w:r>
        <w:rPr>
          <w:b/>
          <w:sz w:val="21"/>
        </w:rPr>
        <w:t>A1 — Evidenced</w:t>
      </w:r>
    </w:p>
    <w:p>
      <w:r>
        <w:rPr>
          <w:b w:val="0"/>
          <w:i/>
          <w:color w:val="595959"/>
          <w:sz w:val="18"/>
        </w:rPr>
        <w:t>Explicit reminder to set aside prior beliefs about management's honesty and integrity (ISA 240.15)</w:t>
      </w:r>
    </w:p>
    <w:p>
      <w:r>
        <w:rPr>
          <w:b w:val="0"/>
          <w:i w:val="0"/>
          <w:sz w:val="20"/>
        </w:rPr>
        <w:t>“Sarah opened by reminding everyone to set aside what we know about management from prior years and approach this with a fresh, skeptical mindset.”  — S1</w:t>
      </w:r>
    </w:p>
    <w:p>
      <w:r>
        <w:rPr>
          <w:b/>
          <w:sz w:val="21"/>
        </w:rPr>
        <w:t>A2 — Evidenced</w:t>
      </w:r>
    </w:p>
    <w:p>
      <w:r>
        <w:rPr>
          <w:b w:val="0"/>
          <w:i/>
          <w:color w:val="595959"/>
          <w:sz w:val="18"/>
        </w:rPr>
        <w:t>Susceptibility to fraudulent financial reporting (where/how)</w:t>
      </w:r>
    </w:p>
    <w:p>
      <w:r>
        <w:rPr>
          <w:b w:val="0"/>
          <w:i w:val="0"/>
          <w:sz w:val="20"/>
        </w:rPr>
        <w:t>“Discussed that Thornbury Manufacturing's contracts often bundle equipment, installation, and service — creates judgment in how transaction price gets allocated. Also touched on FinPay's transaction-fee revenue timing.”  — S1</w:t>
      </w:r>
    </w:p>
    <w:p>
      <w:r>
        <w:rPr>
          <w:b/>
          <w:sz w:val="21"/>
        </w:rPr>
        <w:t>A3 — Partially evidenced</w:t>
      </w:r>
    </w:p>
    <w:p>
      <w:r>
        <w:rPr>
          <w:b w:val="0"/>
          <w:i/>
          <w:color w:val="595959"/>
          <w:sz w:val="18"/>
        </w:rPr>
        <w:t>Susceptibility to misappropriation of assets (where/how)</w:t>
      </w:r>
    </w:p>
    <w:p>
      <w:r>
        <w:rPr>
          <w:b w:val="0"/>
          <w:i w:val="0"/>
          <w:sz w:val="20"/>
        </w:rPr>
        <w:t>“Brief mention of some inventory shrink noted at the Distribution Pacific warehouse in Q3 reporting. Nobody had more detail on this yet — flagged to follow up during fieldwork.”  — S1</w:t>
      </w:r>
    </w:p>
    <w:p>
      <w:pPr>
        <w:spacing w:before="240" w:after="80"/>
      </w:pPr>
      <w:r>
        <w:rPr>
          <w:b/>
          <w:color w:val="1F3864"/>
          <w:sz w:val="28"/>
        </w:rPr>
        <w:t>Rebuttable Presumptions</w:t>
      </w:r>
    </w:p>
    <w:p>
      <w:r>
        <w:rPr>
          <w:b/>
          <w:sz w:val="21"/>
        </w:rPr>
        <w:t>B1 — Evidenced</w:t>
      </w:r>
    </w:p>
    <w:p>
      <w:r>
        <w:rPr>
          <w:b w:val="0"/>
          <w:i/>
          <w:color w:val="595959"/>
          <w:sz w:val="18"/>
        </w:rPr>
        <w:t>Revenue recognition fraud risk, addressed at the scheme level (channel stuffing, bill-and-hold, side letters, multi-element/variable-consideration arrangements). If rebutted, rationale must tie to a specific revenue stream. (ISA 240.26–27)</w:t>
      </w:r>
    </w:p>
    <w:p>
      <w:r>
        <w:rPr>
          <w:b w:val="0"/>
          <w:i w:val="0"/>
          <w:sz w:val="20"/>
        </w:rPr>
        <w:t>“Team agreed revenue recognition fraud risk is low given revenue is generally straightforward and recognized on delivery. No further breakdown discussed.”  — S1</w:t>
      </w:r>
    </w:p>
    <w:p>
      <w:r>
        <w:rPr>
          <w:b/>
          <w:sz w:val="21"/>
        </w:rPr>
        <w:t>B2 — Evidenced</w:t>
      </w:r>
    </w:p>
    <w:p>
      <w:r>
        <w:rPr>
          <w:b w:val="0"/>
          <w:i/>
          <w:color w:val="595959"/>
          <w:sz w:val="18"/>
        </w:rPr>
        <w:t>Management override of controls, addressed as always present regardless of assessed control environment strength; explicit consideration of manual and top-side/consolidating entries (ISA 240.31–33)</w:t>
      </w:r>
    </w:p>
    <w:p>
      <w:r>
        <w:rPr>
          <w:b w:val="0"/>
          <w:i w:val="0"/>
          <w:sz w:val="20"/>
        </w:rPr>
        <w:t>“Reminded the team that per firm methodology, management override must always be considered a fraud risk regardless of the assessed strength of the control environment. Discussed the parent-level manual JE approval deficiency as a potential override vector.”  — S4</w:t>
      </w:r>
    </w:p>
    <w:p>
      <w:pPr>
        <w:spacing w:before="240" w:after="80"/>
      </w:pPr>
      <w:r>
        <w:rPr>
          <w:b/>
          <w:color w:val="1F3864"/>
          <w:sz w:val="28"/>
        </w:rPr>
        <w:t>Fraud Triangle Findings</w:t>
      </w:r>
    </w:p>
    <w:p>
      <w:r>
        <w:rPr>
          <w:b/>
          <w:sz w:val="21"/>
        </w:rPr>
        <w:t>C1 — Evidenced</w:t>
      </w:r>
    </w:p>
    <w:p>
      <w:r>
        <w:rPr>
          <w:b w:val="0"/>
          <w:i/>
          <w:color w:val="595959"/>
          <w:sz w:val="18"/>
        </w:rPr>
        <w:t>Incentive/pressure factors</w:t>
      </w:r>
    </w:p>
    <w:p>
      <w:r>
        <w:rPr>
          <w:b w:val="0"/>
          <w:i w:val="0"/>
          <w:sz w:val="20"/>
        </w:rPr>
        <w:t>“Priya raised that Distribution Pacific has missed budget for three straight quarters, and there's real pressure from the CFO to hit Q4 numbers given the covenant test coming up in February 2026.”  — S1</w:t>
      </w:r>
    </w:p>
    <w:p>
      <w:r>
        <w:rPr>
          <w:b/>
          <w:color w:val="C00000"/>
          <w:sz w:val="21"/>
        </w:rPr>
        <w:t>C2 — Not evidenced</w:t>
      </w:r>
    </w:p>
    <w:p>
      <w:r>
        <w:rPr>
          <w:b w:val="0"/>
          <w:i/>
          <w:color w:val="595959"/>
          <w:sz w:val="18"/>
        </w:rPr>
        <w:t>Opportunity factors</w:t>
      </w:r>
    </w:p>
    <w:p>
      <w:r>
        <w:rPr>
          <w:b/>
          <w:color w:val="C00000"/>
          <w:sz w:val="21"/>
        </w:rPr>
        <w:t>C3 — Not evidenced</w:t>
      </w:r>
    </w:p>
    <w:p>
      <w:r>
        <w:rPr>
          <w:b w:val="0"/>
          <w:i/>
          <w:color w:val="595959"/>
          <w:sz w:val="18"/>
        </w:rPr>
        <w:t>Rationalization factors</w:t>
      </w:r>
    </w:p>
    <w:p>
      <w:pPr>
        <w:spacing w:before="240" w:after="80"/>
      </w:pPr>
      <w:r>
        <w:rPr>
          <w:b/>
          <w:color w:val="1F3864"/>
          <w:sz w:val="28"/>
        </w:rPr>
        <w:t>Prior-Period Continuity</w:t>
      </w:r>
    </w:p>
    <w:p>
      <w:r>
        <w:rPr>
          <w:b/>
          <w:sz w:val="21"/>
        </w:rPr>
        <w:t>D1 — Evidenced</w:t>
      </w:r>
    </w:p>
    <w:p>
      <w:r>
        <w:rPr>
          <w:b w:val="0"/>
          <w:i/>
          <w:color w:val="595959"/>
          <w:sz w:val="18"/>
        </w:rPr>
        <w:t>Prior-period fraud or error findings and management's remediation status</w:t>
      </w:r>
    </w:p>
    <w:p>
      <w:r>
        <w:rPr>
          <w:b w:val="0"/>
          <w:i w:val="0"/>
          <w:sz w:val="20"/>
        </w:rPr>
        <w:t>“The team noted the previously identified control deficiency in the review and approval process for manual journal entries exceeding $250,000 at the parent-company level remains relevant. Management indicated remediation was in progress.”  — S1</w:t>
      </w:r>
    </w:p>
    <w:p>
      <w:r>
        <w:rPr>
          <w:b/>
          <w:i w:val="0"/>
          <w:color w:val="C00000"/>
          <w:sz w:val="19"/>
        </w:rPr>
        <w:t>⚠ Flagged: near-identical to the prior-year excerpt for this topic — confirm this reflects current-year discussion.</w:t>
      </w:r>
    </w:p>
    <w:p>
      <w:pPr>
        <w:spacing w:before="240" w:after="80"/>
      </w:pPr>
      <w:r>
        <w:rPr>
          <w:b/>
          <w:color w:val="1F3864"/>
          <w:sz w:val="28"/>
        </w:rPr>
        <w:t>Known Fraud &amp; Reporting Channels</w:t>
      </w:r>
    </w:p>
    <w:p>
      <w:r>
        <w:rPr>
          <w:b/>
          <w:sz w:val="21"/>
        </w:rPr>
        <w:t>E1 — Evidenced</w:t>
      </w:r>
    </w:p>
    <w:p>
      <w:r>
        <w:rPr>
          <w:b w:val="0"/>
          <w:i/>
          <w:color w:val="595959"/>
          <w:sz w:val="18"/>
        </w:rPr>
        <w:t>Any known or suspected fraud instances</w:t>
      </w:r>
    </w:p>
    <w:p>
      <w:r>
        <w:rPr>
          <w:b w:val="0"/>
          <w:i w:val="0"/>
          <w:sz w:val="20"/>
        </w:rPr>
        <w:t>“Suspected BEC / fraudulent wire transfer attempt at Meridian FinPay (see INC-01); anonymous ethics-hotline complaint re: expense deferral at Distribution Pacific (see INC-02).”  — S2</w:t>
      </w:r>
    </w:p>
    <w:p>
      <w:r>
        <w:rPr>
          <w:b/>
          <w:sz w:val="21"/>
        </w:rPr>
        <w:t>E2 — Evidenced</w:t>
      </w:r>
    </w:p>
    <w:p>
      <w:r>
        <w:rPr>
          <w:b w:val="0"/>
          <w:i/>
          <w:color w:val="595959"/>
          <w:sz w:val="18"/>
        </w:rPr>
        <w:t>Specific inquiry into whether the client's whistleblower/ethics hotline has logged complaints, and their disposition</w:t>
      </w:r>
    </w:p>
    <w:p>
      <w:r>
        <w:rPr>
          <w:b w:val="0"/>
          <w:i w:val="0"/>
          <w:sz w:val="20"/>
        </w:rPr>
        <w:t>“Group's ethics hotline logged an anonymous complaint on January 8, 2026 alleging that Distribution Pacific's CFO pressured the local finance team to defer roughly $180,000 of Q4 expense recognition.”  — S3</w:t>
      </w:r>
    </w:p>
    <w:p>
      <w:pPr>
        <w:spacing w:before="240" w:after="80"/>
      </w:pPr>
      <w:r>
        <w:rPr>
          <w:b/>
          <w:color w:val="1F3864"/>
          <w:sz w:val="28"/>
        </w:rPr>
        <w:t>IT, Cyber &amp; EUC</w:t>
      </w:r>
    </w:p>
    <w:p>
      <w:r>
        <w:rPr>
          <w:b/>
          <w:sz w:val="21"/>
        </w:rPr>
        <w:t>F1 — Partially evidenced</w:t>
      </w:r>
    </w:p>
    <w:p>
      <w:r>
        <w:rPr>
          <w:b w:val="0"/>
          <w:i/>
          <w:color w:val="595959"/>
          <w:sz w:val="18"/>
        </w:rPr>
        <w:t>IT/cyber fraud risk — general access-control and data-manipulation exposure</w:t>
      </w:r>
    </w:p>
    <w:p>
      <w:r>
        <w:rPr>
          <w:b w:val="0"/>
          <w:i w:val="0"/>
          <w:sz w:val="20"/>
        </w:rPr>
        <w:t>“Elena to follow up on general ITGC testing at both Thornbury Manufacturing and FinPay.”  — S1</w:t>
      </w:r>
    </w:p>
    <w:p>
      <w:r>
        <w:rPr>
          <w:b/>
          <w:sz w:val="21"/>
        </w:rPr>
        <w:t>F2 — Evidenced</w:t>
      </w:r>
    </w:p>
    <w:p>
      <w:r>
        <w:rPr>
          <w:b w:val="0"/>
          <w:i/>
          <w:color w:val="595959"/>
          <w:sz w:val="18"/>
        </w:rPr>
        <w:t>Business email compromise / fraudulent wire-transfer exposure (expanded when cyber_exposure_flag is set)</w:t>
      </w:r>
    </w:p>
    <w:p>
      <w:r>
        <w:rPr>
          <w:b w:val="0"/>
          <w:i w:val="0"/>
          <w:sz w:val="20"/>
        </w:rPr>
        <w:t>“FinPay's AP team received an email purporting to be from a legitimate vendor requesting an urgent change to banking details ahead of a $340,000 payment; bank froze the transaction before funds left the account.”  — S2</w:t>
      </w:r>
    </w:p>
    <w:p>
      <w:r>
        <w:rPr>
          <w:b/>
          <w:sz w:val="21"/>
        </w:rPr>
        <w:t>F3 — Partially evidenced</w:t>
      </w:r>
    </w:p>
    <w:p>
      <w:r>
        <w:rPr>
          <w:b w:val="0"/>
          <w:i/>
          <w:color w:val="595959"/>
          <w:sz w:val="18"/>
        </w:rPr>
        <w:t>End-user-computing / spreadsheet override risk in significant estimates or consolidation</w:t>
      </w:r>
    </w:p>
    <w:p>
      <w:r>
        <w:rPr>
          <w:b w:val="0"/>
          <w:i w:val="0"/>
          <w:sz w:val="20"/>
        </w:rPr>
        <w:t>“Noted the goodwill impairment model for the FinPay reporting unit is maintained in a standalone Excel file by the CFO's team.”  — S1</w:t>
      </w:r>
    </w:p>
    <w:p>
      <w:pPr>
        <w:spacing w:before="240" w:after="80"/>
      </w:pPr>
      <w:r>
        <w:rPr>
          <w:b/>
          <w:color w:val="1F3864"/>
          <w:sz w:val="28"/>
        </w:rPr>
        <w:t>Unpredictability</w:t>
      </w:r>
    </w:p>
    <w:p>
      <w:r>
        <w:rPr>
          <w:b/>
          <w:sz w:val="21"/>
        </w:rPr>
        <w:t>G1 — Evidenced</w:t>
      </w:r>
    </w:p>
    <w:p>
      <w:r>
        <w:rPr>
          <w:b w:val="0"/>
          <w:i/>
          <w:color w:val="595959"/>
          <w:sz w:val="18"/>
        </w:rPr>
        <w:t>At least one specific unpredictability element for this engagement</w:t>
      </w:r>
    </w:p>
    <w:p>
      <w:r>
        <w:rPr>
          <w:b w:val="0"/>
          <w:i w:val="0"/>
          <w:sz w:val="20"/>
        </w:rPr>
        <w:t>“Agreed to send Marcus for an unannounced count/site visit at the Pacific warehouse in early February, instead of the previously scheduled and communicated March visit.”  — S3</w:t>
      </w:r>
    </w:p>
    <w:p>
      <w:pPr>
        <w:spacing w:before="240" w:after="80"/>
      </w:pPr>
      <w:r>
        <w:rPr>
          <w:b/>
          <w:color w:val="1F3864"/>
          <w:sz w:val="28"/>
        </w:rPr>
        <w:t>Related Parties &amp; Significant Unusual Transactions</w:t>
      </w:r>
    </w:p>
    <w:p>
      <w:r>
        <w:rPr>
          <w:b/>
          <w:sz w:val="21"/>
        </w:rPr>
        <w:t>H1 — Evidenced</w:t>
      </w:r>
    </w:p>
    <w:p>
      <w:r>
        <w:rPr>
          <w:b w:val="0"/>
          <w:i/>
          <w:color w:val="595959"/>
          <w:sz w:val="18"/>
        </w:rPr>
        <w:t>Related-party relationships and transactions, including any structured to obscure the related-party nature</w:t>
      </w:r>
    </w:p>
    <w:p>
      <w:r>
        <w:rPr>
          <w:b w:val="0"/>
          <w:i w:val="0"/>
          <w:sz w:val="20"/>
        </w:rPr>
        <w:t>“Thornbury Manufacturing sold a fully depreciated CNC machine to Ridgeline Fabrication Co.; Ridgeline's owner is the brother-in-law of Thornbury Manufacturing's plant GM.”  — S3</w:t>
      </w:r>
    </w:p>
    <w:p>
      <w:r>
        <w:rPr>
          <w:b/>
          <w:sz w:val="21"/>
        </w:rPr>
        <w:t>H2 — Partially evidenced</w:t>
      </w:r>
    </w:p>
    <w:p>
      <w:r>
        <w:rPr>
          <w:b w:val="0"/>
          <w:i/>
          <w:color w:val="595959"/>
          <w:sz w:val="18"/>
        </w:rPr>
        <w:t>Significant unusual transactions, particularly near period-end, outside the normal course of business, or with unusual terms</w:t>
      </w:r>
    </w:p>
    <w:p>
      <w:r>
        <w:rPr>
          <w:b w:val="0"/>
          <w:i w:val="0"/>
          <w:sz w:val="20"/>
        </w:rPr>
        <w:t>“Deal closed December 28, 2025. No further discussion of fair value support for the sale price. [S4:] No further fair value documentation has been obtained from management. Remains an open item.”  — S3</w:t>
      </w:r>
    </w:p>
    <w:p>
      <w:pPr>
        <w:spacing w:before="240" w:after="80"/>
      </w:pPr>
      <w:r>
        <w:rPr>
          <w:b/>
          <w:color w:val="1F3864"/>
          <w:sz w:val="28"/>
        </w:rPr>
        <w:t>Management Estimates &amp; Accounting Judgments</w:t>
      </w:r>
    </w:p>
    <w:p>
      <w:r>
        <w:rPr>
          <w:b/>
          <w:sz w:val="21"/>
        </w:rPr>
        <w:t>I1 — Partially evidenced</w:t>
      </w:r>
    </w:p>
    <w:p>
      <w:r>
        <w:rPr>
          <w:b w:val="0"/>
          <w:i/>
          <w:color w:val="595959"/>
          <w:sz w:val="18"/>
        </w:rPr>
        <w:t>Key estimates susceptible to management bias (impairment, ECL/allowance, reserves, contract assets/costs) and whether a pattern of bias was discussed</w:t>
      </w:r>
    </w:p>
    <w:p>
      <w:r>
        <w:rPr>
          <w:b w:val="0"/>
          <w:i w:val="0"/>
          <w:sz w:val="20"/>
        </w:rPr>
        <w:t>“David noted in passing that the goodwill impairment model for the FinPay reporting unit has shown consistently favorable growth assumptions relative to actual results for the past three years. Not otherwise discussed at this meeting.”  — S4</w:t>
      </w:r>
    </w:p>
    <w:p>
      <w:pPr>
        <w:spacing w:before="240" w:after="80"/>
      </w:pPr>
      <w:r>
        <w:rPr>
          <w:b/>
          <w:color w:val="1F3864"/>
          <w:sz w:val="28"/>
        </w:rPr>
        <w:t>Group / Component Summary</w:t>
      </w:r>
    </w:p>
    <w:p>
      <w:r>
        <w:rPr>
          <w:b/>
          <w:color w:val="C00000"/>
          <w:sz w:val="21"/>
        </w:rPr>
        <w:t>J1 — Not evidenced</w:t>
      </w:r>
    </w:p>
    <w:p>
      <w:r>
        <w:rPr>
          <w:b w:val="0"/>
          <w:i/>
          <w:color w:val="595959"/>
          <w:sz w:val="18"/>
        </w:rPr>
        <w:t>Fraud risk factors communicated from group team to component auditors</w:t>
      </w:r>
    </w:p>
    <w:p>
      <w:r>
        <w:rPr>
          <w:b/>
          <w:i w:val="0"/>
          <w:color w:val="C00000"/>
          <w:sz w:val="19"/>
        </w:rPr>
        <w:t>⚠ Planning notes show the group REQUESTING component fraud summaries, but no instance of the group communicating its OWN identified fraud risk factors (e.g. covenant pressure, cyber exposure) outward to component auditors was found in any session.</w:t>
      </w:r>
    </w:p>
    <w:p>
      <w:r>
        <w:rPr>
          <w:b/>
          <w:sz w:val="21"/>
        </w:rPr>
        <w:t>J2 — Evidenced</w:t>
      </w:r>
    </w:p>
    <w:p>
      <w:r>
        <w:rPr>
          <w:b w:val="0"/>
          <w:i/>
          <w:color w:val="595959"/>
          <w:sz w:val="18"/>
        </w:rPr>
        <w:t>Fraud risk factors communicated from component auditors back to group team, with group-team adequacy review recorded</w:t>
      </w:r>
    </w:p>
    <w:p>
      <w:r>
        <w:rPr>
          <w:b w:val="0"/>
          <w:i w:val="0"/>
          <w:sz w:val="20"/>
        </w:rPr>
        <w:t>“Thornbury Manufacturing's summary received and reviewed — comprehensive. FinPay's auditor submitted a one-paragraph summary; David flagged it as thin and will follow up before it can be accepted. Distribution Pacific's summary has still not been received.”  — S4</w:t>
      </w:r>
    </w:p>
    <w:p>
      <w:r>
        <w:rPr>
          <w:b/>
          <w:sz w:val="21"/>
        </w:rPr>
        <w:t>J3 — Evidenced</w:t>
      </w:r>
    </w:p>
    <w:p>
      <w:r>
        <w:rPr>
          <w:b w:val="0"/>
          <w:i/>
          <w:color w:val="595959"/>
          <w:sz w:val="18"/>
        </w:rPr>
        <w:t>Any component with a fraud risk factor requiring group-level response</w:t>
      </w:r>
    </w:p>
    <w:p>
      <w:r>
        <w:rPr>
          <w:b w:val="0"/>
          <w:i w:val="0"/>
          <w:sz w:val="20"/>
        </w:rPr>
        <w:t>“Ethics-hotline complaint at Distribution Pacific escalated to Group Compliance; group audit team addressing via component-level cutoff testing.”  — S3</w:t>
      </w:r>
    </w:p>
    <w:p>
      <w:r>
        <w:rPr>
          <w:b/>
          <w:color w:val="C00000"/>
          <w:sz w:val="21"/>
        </w:rPr>
        <w:t>J4 — Not evidenced</w:t>
      </w:r>
    </w:p>
    <w:p>
      <w:r>
        <w:rPr>
          <w:b w:val="0"/>
          <w:i/>
          <w:color w:val="595959"/>
          <w:sz w:val="18"/>
        </w:rPr>
        <w:t>Top-side/consolidating-entry risk at the group level specifically</w:t>
      </w:r>
    </w:p>
    <w:p>
      <w:r>
        <w:rPr>
          <w:b/>
          <w:i w:val="0"/>
          <w:color w:val="C00000"/>
          <w:sz w:val="19"/>
        </w:rPr>
        <w:t>⚠ B2's discussion covers parent-level manual JE approval specifically, not top-side/consolidating entries at the group-consolidation level — these are distinct per Skill-Spec §7.J4 and no session addresses the latter.</w:t>
      </w:r>
    </w:p>
    <w:p>
      <w:pPr>
        <w:spacing w:before="240" w:after="80"/>
      </w:pPr>
      <w:r>
        <w:rPr>
          <w:b/>
          <w:color w:val="1F3864"/>
          <w:sz w:val="28"/>
        </w:rPr>
        <w:t>Fraud Risk Register (summary — see companion workbook for full detail)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ID</w:t>
            </w:r>
          </w:p>
        </w:tc>
        <w:tc>
          <w:tcPr>
            <w:tcW w:type="dxa" w:w="2160"/>
          </w:tcPr>
          <w:p>
            <w:r>
              <w:t>Description</w:t>
            </w:r>
          </w:p>
        </w:tc>
        <w:tc>
          <w:tcPr>
            <w:tcW w:type="dxa" w:w="2160"/>
          </w:tcPr>
          <w:p>
            <w:r>
              <w:t>Category</w:t>
            </w:r>
          </w:p>
        </w:tc>
        <w:tc>
          <w:tcPr>
            <w:tcW w:type="dxa" w:w="2160"/>
          </w:tcPr>
          <w:p>
            <w:r>
              <w:t>Accounts Affected</w:t>
            </w:r>
          </w:p>
        </w:tc>
      </w:tr>
      <w:tr>
        <w:tc>
          <w:tcPr>
            <w:tcW w:type="dxa" w:w="2160"/>
          </w:tcPr>
          <w:p>
            <w:r>
              <w:t>R1</w:t>
            </w:r>
          </w:p>
        </w:tc>
        <w:tc>
          <w:tcPr>
            <w:tcW w:type="dxa" w:w="2160"/>
          </w:tcPr>
          <w:p>
            <w:r>
              <w:t>Covenant/budget pressure at Distribution Pacific creates incentive to defer expense recognition or otherwise manage results ahead of the Feb 2026 covenant test.</w:t>
            </w:r>
          </w:p>
        </w:tc>
        <w:tc>
          <w:tcPr>
            <w:tcW w:type="dxa" w:w="2160"/>
          </w:tcPr>
          <w:p>
            <w:r>
              <w:t>Incentive/Pressure</w:t>
            </w:r>
          </w:p>
        </w:tc>
        <w:tc>
          <w:tcPr>
            <w:tcW w:type="dxa" w:w="2160"/>
          </w:tcPr>
          <w:p>
            <w:r>
              <w:t>Operating expenses (Distribution Pacific)</w:t>
            </w:r>
          </w:p>
        </w:tc>
      </w:tr>
      <w:tr>
        <w:tc>
          <w:tcPr>
            <w:tcW w:type="dxa" w:w="2160"/>
          </w:tcPr>
          <w:p>
            <w:r>
              <w:t>R2</w:t>
            </w:r>
          </w:p>
        </w:tc>
        <w:tc>
          <w:tcPr>
            <w:tcW w:type="dxa" w:w="2160"/>
          </w:tcPr>
          <w:p>
            <w:r>
              <w:t>Multi-element revenue arrangements at Thornbury Manufacturing involve judgment in transaction-price allocation; the rebuttal of the revenue-recognition presumption was not tied to a specific revenue stream.</w:t>
            </w:r>
          </w:p>
        </w:tc>
        <w:tc>
          <w:tcPr>
            <w:tcW w:type="dxa" w:w="2160"/>
          </w:tcPr>
          <w:p>
            <w:r>
              <w:t>Unclassified</w:t>
            </w:r>
          </w:p>
        </w:tc>
        <w:tc>
          <w:tcPr>
            <w:tcW w:type="dxa" w:w="2160"/>
          </w:tcPr>
          <w:p>
            <w:r>
              <w:t>Revenue (Thornbury Manufacturing)</w:t>
            </w:r>
          </w:p>
        </w:tc>
      </w:tr>
      <w:tr>
        <w:tc>
          <w:tcPr>
            <w:tcW w:type="dxa" w:w="2160"/>
          </w:tcPr>
          <w:p>
            <w:r>
              <w:t>R3</w:t>
            </w:r>
          </w:p>
        </w:tc>
        <w:tc>
          <w:tcPr>
            <w:tcW w:type="dxa" w:w="2160"/>
          </w:tcPr>
          <w:p>
            <w:r>
              <w:t>Management override via manual journal entries at the parent level - control deficiency unremediated for a second consecutive year.</w:t>
            </w:r>
          </w:p>
        </w:tc>
        <w:tc>
          <w:tcPr>
            <w:tcW w:type="dxa" w:w="2160"/>
          </w:tcPr>
          <w:p>
            <w:r>
              <w:t>Opportunity</w:t>
            </w:r>
          </w:p>
        </w:tc>
        <w:tc>
          <w:tcPr>
            <w:tcW w:type="dxa" w:w="2160"/>
          </w:tcPr>
          <w:p>
            <w:r>
              <w:t>Manual journal entries, parent level</w:t>
            </w:r>
          </w:p>
        </w:tc>
      </w:tr>
      <w:tr>
        <w:tc>
          <w:tcPr>
            <w:tcW w:type="dxa" w:w="2160"/>
          </w:tcPr>
          <w:p>
            <w:r>
              <w:t>R4</w:t>
            </w:r>
          </w:p>
        </w:tc>
        <w:tc>
          <w:tcPr>
            <w:tcW w:type="dxa" w:w="2160"/>
          </w:tcPr>
          <w:p>
            <w:r>
              <w:t>Business email compromise / fraudulent wire-transfer exposure at Meridian FinPay.</w:t>
            </w:r>
          </w:p>
        </w:tc>
        <w:tc>
          <w:tcPr>
            <w:tcW w:type="dxa" w:w="2160"/>
          </w:tcPr>
          <w:p>
            <w:r>
              <w:t>Opportunity</w:t>
            </w:r>
          </w:p>
        </w:tc>
        <w:tc>
          <w:tcPr>
            <w:tcW w:type="dxa" w:w="2160"/>
          </w:tcPr>
          <w:p>
            <w:r>
              <w:t>Cash, accounts payable (Meridian FinPay)</w:t>
            </w:r>
          </w:p>
        </w:tc>
      </w:tr>
      <w:tr>
        <w:tc>
          <w:tcPr>
            <w:tcW w:type="dxa" w:w="2160"/>
          </w:tcPr>
          <w:p>
            <w:r>
              <w:t>R5</w:t>
            </w:r>
          </w:p>
        </w:tc>
        <w:tc>
          <w:tcPr>
            <w:tcW w:type="dxa" w:w="2160"/>
          </w:tcPr>
          <w:p>
            <w:r>
              <w:t>Related-party sale of a CNC machine near fiscal year-end, no fair value support obtained as of the final session.</w:t>
            </w:r>
          </w:p>
        </w:tc>
        <w:tc>
          <w:tcPr>
            <w:tcW w:type="dxa" w:w="2160"/>
          </w:tcPr>
          <w:p>
            <w:r>
              <w:t>Rationalization</w:t>
            </w:r>
          </w:p>
        </w:tc>
        <w:tc>
          <w:tcPr>
            <w:tcW w:type="dxa" w:w="2160"/>
          </w:tcPr>
          <w:p>
            <w:r>
              <w:t>Property, plant &amp; equipment; related-party disclosures</w:t>
            </w:r>
          </w:p>
        </w:tc>
      </w:tr>
      <w:tr>
        <w:tc>
          <w:tcPr>
            <w:tcW w:type="dxa" w:w="2160"/>
          </w:tcPr>
          <w:p>
            <w:r>
              <w:t>R6</w:t>
            </w:r>
          </w:p>
        </w:tc>
        <w:tc>
          <w:tcPr>
            <w:tcW w:type="dxa" w:w="2160"/>
          </w:tcPr>
          <w:p>
            <w:r>
              <w:t>Goodwill impairment model for the FinPay reporting unit has shown consistently favorable growth assumptions for three consecutive years - potential bias pattern not substantively discussed.</w:t>
            </w:r>
          </w:p>
        </w:tc>
        <w:tc>
          <w:tcPr>
            <w:tcW w:type="dxa" w:w="2160"/>
          </w:tcPr>
          <w:p>
            <w:r>
              <w:t>Rationalization</w:t>
            </w:r>
          </w:p>
        </w:tc>
        <w:tc>
          <w:tcPr>
            <w:tcW w:type="dxa" w:w="2160"/>
          </w:tcPr>
          <w:p>
            <w:r>
              <w:t>Goodwill (Meridian FinPay reporting unit)</w:t>
            </w:r>
          </w:p>
        </w:tc>
      </w:tr>
    </w:tbl>
    <w:p>
      <w:pPr>
        <w:spacing w:before="240" w:after="80"/>
      </w:pPr>
      <w:r>
        <w:rPr>
          <w:b/>
          <w:color w:val="1F3864"/>
          <w:sz w:val="28"/>
        </w:rPr>
        <w:t>Engagement Quality Review</w:t>
      </w:r>
    </w:p>
    <w:p>
      <w:r>
        <w:rPr>
          <w:b/>
          <w:i w:val="0"/>
          <w:color w:val="C00000"/>
          <w:sz w:val="21"/>
        </w:rPr>
        <w:t>This engagement requires an EQR checkpoint (public-interest entity and/or an open Escalation Log entry). EQR completion status: NOT YET LOGGED</w:t>
      </w:r>
    </w:p>
    <w:p>
      <w:pPr>
        <w:spacing w:before="240" w:after="80"/>
      </w:pPr>
      <w:r>
        <w:rPr>
          <w:b/>
          <w:color w:val="1F3864"/>
          <w:sz w:val="28"/>
        </w:rPr>
        <w:t>Open Items (Changelog)</w:t>
      </w:r>
    </w:p>
    <w:p>
      <w:r>
        <w:rPr>
          <w:b/>
          <w:i w:val="0"/>
          <w:color w:val="C00000"/>
          <w:sz w:val="20"/>
        </w:rPr>
        <w:t>✗ HARD GATE — Component 'Thornbury Distribution (Pacific) Pty Ltd' has no Component Fraud Risk Input on file</w:t>
      </w:r>
    </w:p>
    <w:p>
      <w:r>
        <w:rPr>
          <w:b/>
          <w:i w:val="0"/>
          <w:color w:val="C00000"/>
          <w:sz w:val="20"/>
        </w:rPr>
        <w:t>✗ HARD GATE — Other-firm component 'Meridian FinPay Solutions Inc.' adequacy review not completed (status: pending (flagged thin at final session, S4))</w:t>
      </w:r>
    </w:p>
    <w:p>
      <w:r>
        <w:rPr>
          <w:b/>
          <w:i w:val="0"/>
          <w:color w:val="C00000"/>
          <w:sz w:val="20"/>
        </w:rPr>
        <w:t>✗ HARD GATE — EQR checkpoint required (public-interest entity, 1 open Escalation Log entry) but not yet logged</w:t>
      </w:r>
    </w:p>
    <w:p>
      <w:r>
        <w:rPr>
          <w:b w:val="0"/>
          <w:i w:val="0"/>
          <w:sz w:val="20"/>
        </w:rPr>
        <w:t>• C2 not evidenced in any session to date — Pending — awaiting team confirmation</w:t>
      </w:r>
    </w:p>
    <w:p>
      <w:r>
        <w:rPr>
          <w:b w:val="0"/>
          <w:i w:val="0"/>
          <w:sz w:val="20"/>
        </w:rPr>
        <w:t>• C3 not evidenced in any session to date — Pending — awaiting team confirmation</w:t>
      </w:r>
    </w:p>
    <w:p>
      <w:r>
        <w:rPr>
          <w:b w:val="0"/>
          <w:i w:val="0"/>
          <w:sz w:val="20"/>
        </w:rPr>
        <w:t>• J1 not evidenced in any session to date (Planning notes show the group REQUESTING component fraud summaries, but no instance of the group communicating its OWN identified fraud risk factors (e.g. covenant pressure, cyber exposure) outward to component auditors was found in any session.) — Pending — awaiting team confirmation</w:t>
      </w:r>
    </w:p>
    <w:p>
      <w:r>
        <w:rPr>
          <w:b w:val="0"/>
          <w:i w:val="0"/>
          <w:sz w:val="20"/>
        </w:rPr>
        <w:t>• J4 not evidenced in any session to date (B2's discussion covers parent-level manual JE approval specifically, not top-side/consolidating entries at the group-consolidation level — these are distinct per Skill-Spec §7.J4 and no session addresses the latter.) — Pending — awaiting team confirmation</w:t>
      </w:r>
    </w:p>
    <w:p>
      <w:r>
        <w:rPr>
          <w:b w:val="0"/>
          <w:i w:val="0"/>
          <w:color w:val="595959"/>
          <w:sz w:val="19"/>
        </w:rPr>
        <w:t>▸ A3: evidenced but thin — "Brief mention of some inventory shrink noted at the Distribution Pacific warehouse in Q3 reporting. Nobody had more detail on this yet — fla"</w:t>
      </w:r>
    </w:p>
    <w:p>
      <w:r>
        <w:rPr>
          <w:b w:val="0"/>
          <w:i w:val="0"/>
          <w:color w:val="595959"/>
          <w:sz w:val="19"/>
        </w:rPr>
        <w:t>▸ B1: rebuttal recorded but not tied to a specific revenue stream</w:t>
      </w:r>
    </w:p>
    <w:p>
      <w:r>
        <w:rPr>
          <w:b w:val="0"/>
          <w:i w:val="0"/>
          <w:color w:val="595959"/>
          <w:sz w:val="19"/>
        </w:rPr>
        <w:t>▸ D1: prior-year finding referenced but remediation status not stated</w:t>
      </w:r>
    </w:p>
    <w:p>
      <w:r>
        <w:rPr>
          <w:b w:val="0"/>
          <w:i w:val="0"/>
          <w:color w:val="595959"/>
          <w:sz w:val="19"/>
        </w:rPr>
        <w:t>▸ D1: current-year excerpt is a near-verbatim match to the prior-year excerpt (boilerplate)</w:t>
      </w:r>
    </w:p>
    <w:p>
      <w:r>
        <w:rPr>
          <w:b w:val="0"/>
          <w:i w:val="0"/>
          <w:color w:val="595959"/>
          <w:sz w:val="19"/>
        </w:rPr>
        <w:t>▸ F1: evidenced but thin — "Elena to follow up on general ITGC testing at both Thornbury Manufacturing and FinPay."</w:t>
      </w:r>
    </w:p>
    <w:p>
      <w:r>
        <w:rPr>
          <w:b w:val="0"/>
          <w:i w:val="0"/>
          <w:color w:val="595959"/>
          <w:sz w:val="19"/>
        </w:rPr>
        <w:t>▸ F3: evidenced but thin — "Noted the goodwill impairment model for the FinPay reporting unit is maintained in a standalone Excel file by the CFO's team."</w:t>
      </w:r>
    </w:p>
    <w:p>
      <w:r>
        <w:rPr>
          <w:b w:val="0"/>
          <w:i w:val="0"/>
          <w:color w:val="595959"/>
          <w:sz w:val="19"/>
        </w:rPr>
        <w:t>▸ F3: EUC/spreadsheet risk noted but never followed up for independent review</w:t>
      </w:r>
    </w:p>
    <w:p>
      <w:r>
        <w:rPr>
          <w:b w:val="0"/>
          <w:i w:val="0"/>
          <w:color w:val="595959"/>
          <w:sz w:val="19"/>
        </w:rPr>
        <w:t>▸ H2: evidenced but thin — "Deal closed December 28, 2025. No further discussion of fair value support for the sale price. [S4:] No further fair value documentation has"</w:t>
      </w:r>
    </w:p>
    <w:p>
      <w:r>
        <w:rPr>
          <w:b w:val="0"/>
          <w:i w:val="0"/>
          <w:color w:val="595959"/>
          <w:sz w:val="19"/>
        </w:rPr>
        <w:t>▸ H2: remains an open item even at the final session</w:t>
      </w:r>
    </w:p>
    <w:p>
      <w:r>
        <w:rPr>
          <w:b w:val="0"/>
          <w:i w:val="0"/>
          <w:color w:val="595959"/>
          <w:sz w:val="19"/>
        </w:rPr>
        <w:t>▸ I1: evidenced but thin — "David noted in passing that the goodwill impairment model for the FinPay reporting unit has shown consistently favorable growth assumptions "</w:t>
      </w:r>
    </w:p>
    <w:p>
      <w:r>
        <w:rPr>
          <w:b w:val="0"/>
          <w:i w:val="0"/>
          <w:color w:val="595959"/>
          <w:sz w:val="19"/>
        </w:rPr>
        <w:t>▸ I1: mentioned in passing but not substantively discussed as a bias/fraud risk indicator</w:t>
      </w:r>
    </w:p>
    <w:p>
      <w:r>
        <w:rPr>
          <w:b w:val="0"/>
          <w:i w:val="0"/>
          <w:color w:val="595959"/>
          <w:sz w:val="19"/>
        </w:rPr>
        <w:t>▸ Fraud-triangle coverage skewed to one factor — C1 evidenced, C2, C3 not evidenced for the same risk area</w:t>
      </w:r>
    </w:p>
    <w:p>
      <w:pPr>
        <w:spacing w:before="240" w:after="80"/>
      </w:pPr>
      <w:r>
        <w:rPr>
          <w:b/>
          <w:color w:val="1F3864"/>
          <w:sz w:val="28"/>
        </w:rPr>
        <w:t>Sign-off</w:t>
      </w:r>
    </w:p>
    <w:tbl>
      <w:tblPr>
        <w:tblStyle w:val="LightGrid-Accent1"/>
        <w:tblW w:type="auto" w:w="0"/>
        <w:tblLook w:firstColumn="1" w:firstRow="1" w:lastColumn="0" w:lastRow="0" w:noHBand="0" w:noVBand="1" w:val="04A0"/>
      </w:tblPr>
      <w:tblGrid>
        <w:gridCol w:w="4320"/>
        <w:gridCol w:w="4320"/>
      </w:tblGrid>
      <w:tr>
        <w:tc>
          <w:tcPr>
            <w:tcW w:type="dxa" w:w="4320"/>
          </w:tcPr>
          <w:p>
            <w:r>
              <w:t>Engagement Partner</w:t>
            </w:r>
          </w:p>
        </w:tc>
        <w:tc>
          <w:tcPr>
            <w:tcW w:type="dxa" w:w="4320"/>
          </w:tcPr>
          <w:p>
            <w:r>
              <w:t>Date</w:t>
            </w:r>
          </w:p>
        </w:tc>
      </w:tr>
      <w:tr>
        <w:tc>
          <w:tcPr>
            <w:tcW w:type="dxa" w:w="4320"/>
          </w:tcPr>
          <w:p>
            <w:r>
              <w:t>Manager</w:t>
            </w:r>
          </w:p>
        </w:tc>
        <w:tc>
          <w:tcPr>
            <w:tcW w:type="dxa" w:w="4320"/>
          </w:tcPr>
          <w:p>
            <w:r>
              <w:t>Date</w:t>
            </w:r>
          </w:p>
        </w:tc>
      </w:tr>
      <w:tr>
        <w:tc>
          <w:tcPr>
            <w:tcW w:type="dxa" w:w="4320"/>
          </w:tcPr>
          <w:p>
            <w:r>
              <w:t>EQR (if applicable)</w:t>
            </w:r>
          </w:p>
        </w:tc>
        <w:tc>
          <w:tcPr>
            <w:tcW w:type="dxa" w:w="432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