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MERIDIAN MANUFACTURING CO.</w:t>
      </w:r>
    </w:p>
    <w:p>
      <w:pPr>
        <w:spacing w:after="80"/>
        <w:jc w:val="center"/>
      </w:pPr>
      <w:r>
        <w:t xml:space="preserve">Component Audit Program — Fiscal Year Ended December 31, 2026</w:t>
      </w:r>
    </w:p>
    <w:p>
      <w:pPr>
        <w:spacing w:after="300"/>
        <w:jc w:val="center"/>
      </w:pPr>
      <w:r>
        <w:t xml:space="preserve">Insignificant Component — Canada (CAD) — Specific Risk: Related Party Transactions with Parent</w:t>
      </w:r>
    </w:p>
    <w:p>
      <w:pPr>
        <w:spacing w:after="160"/>
      </w:pPr>
      <w:r>
        <w:t xml:space="preserve">This component is not individually significant to the group but has been scoped in for specific audit procedures due to the volume and nature of related party transactions with Meridian Global Holdings Inc. (the Parent). All related party and executive compensation items below are Restricted and must not be included in any automated or bulk client communication.</w:t>
      </w:r>
    </w:p>
    <w:p>
      <w:pPr>
        <w:pStyle w:val="Heading1"/>
        <w:spacing w:after="120" w:before="240"/>
      </w:pPr>
      <w:r>
        <w:t xml:space="preserve">1. Related Party Transactions</w:t>
      </w:r>
    </w:p>
    <w:p>
      <w:pPr>
        <w:spacing w:after="160"/>
      </w:pPr>
      <w:r>
        <w:t xml:space="preserve">The Company is requested to provide: (a) the intercompany management fee agreement and calculation support for FY26</w:t>
      </w:r>
      <w:r>
        <w:rPr>
          <w:i/>
          <w:iCs/>
          <w:color w:val="990000"/>
        </w:rPr>
        <w:t xml:space="preserve">  [Item ID: RPT-04 — RESTRICTED]</w:t>
      </w:r>
      <w:r>
        <w:t xml:space="preserve">; and (b) the intercompany loan agreement with the Parent, together with the FY26 interest calculation</w:t>
      </w:r>
      <w:r>
        <w:rPr>
          <w:i/>
          <w:iCs/>
          <w:color w:val="990000"/>
        </w:rPr>
        <w:t xml:space="preserve">  [Item ID: RPT-05 — RESTRICTED]</w:t>
      </w:r>
      <w:r>
        <w:t xml:space="preserve">. Both items reconcile to Parent Item RPT-01 (consolidated related party listing).</w:t>
      </w:r>
    </w:p>
    <w:p>
      <w:pPr>
        <w:pStyle w:val="Heading1"/>
        <w:spacing w:after="120" w:before="240"/>
      </w:pPr>
      <w:r>
        <w:t xml:space="preserve">2. Executive Compensation</w:t>
      </w:r>
    </w:p>
    <w:p>
      <w:pPr>
        <w:spacing w:after="160"/>
      </w:pPr>
      <w:r>
        <w:t xml:space="preserve">The Company is requested to provide the local Chief Executive Officer's FY26 compensation detail, including the bonus plan calculation, which is contingent on related party transaction approval by the Parent's board</w:t>
      </w:r>
      <w:r>
        <w:rPr>
          <w:i/>
          <w:iCs/>
          <w:color w:val="990000"/>
        </w:rPr>
        <w:t xml:space="preserve">  [Item ID: PAY-CA-01 — RESTRICTED]</w:t>
      </w:r>
      <w:r>
        <w:t xml:space="preserve">.</w:t>
      </w:r>
    </w:p>
    <w:p>
      <w:pPr>
        <w:pStyle w:val="Heading1"/>
        <w:spacing w:after="120" w:before="240"/>
      </w:pPr>
      <w:r>
        <w:t xml:space="preserve">3. Litigation, Claims &amp; Assessments</w:t>
      </w:r>
    </w:p>
    <w:p>
      <w:pPr>
        <w:spacing w:after="160"/>
      </w:pPr>
      <w:r>
        <w:t xml:space="preserve">The Company is requested to provide the outside legal counsel confirmation letter addressing the pending environmental claim disclosed in the prior-year file</w:t>
      </w:r>
      <w:r>
        <w:rPr>
          <w:i/>
          <w:iCs/>
          <w:color w:val="990000"/>
        </w:rPr>
        <w:t xml:space="preserve">  [Item ID: LIT-CA-01 — RESTRICTED]</w:t>
      </w:r>
      <w:r>
        <w:t xml:space="preserve">.</w:t>
      </w:r>
    </w:p>
    <w:p>
      <w:pPr>
        <w:pStyle w:val="Heading1"/>
        <w:spacing w:after="120" w:before="240"/>
      </w:pPr>
      <w:r>
        <w:t xml:space="preserve">4. Property, Plant &amp; Equipment</w:t>
      </w:r>
    </w:p>
    <w:p>
      <w:pPr>
        <w:spacing w:after="160"/>
      </w:pPr>
      <w:r>
        <w:t xml:space="preserve">The Company is requested to provide the fixed asset listing for manufacturing equipment for FY26</w:t>
      </w:r>
      <w:r>
        <w:rPr>
          <w:i/>
          <w:iCs/>
          <w:color w:val="555555"/>
        </w:rPr>
        <w:t xml:space="preserve">  [Item ID: PPE-CA-01]</w:t>
      </w:r>
      <w:r>
        <w:t xml:space="preserve">.</w:t>
      </w:r>
    </w:p>
    <w:p>
      <w:pPr>
        <w:pStyle w:val="Heading1"/>
        <w:spacing w:after="120" w:before="240"/>
      </w:pPr>
      <w:r>
        <w:t xml:space="preserve">5. Inventory</w:t>
      </w:r>
    </w:p>
    <w:p>
      <w:pPr>
        <w:spacing w:after="160"/>
      </w:pPr>
      <w:r>
        <w:t xml:space="preserve">The Company is requested to provide standard costing support and variance analysis for FY26</w:t>
      </w:r>
      <w:r>
        <w:rPr>
          <w:i/>
          <w:iCs/>
          <w:color w:val="555555"/>
        </w:rPr>
        <w:t xml:space="preserve">  [Item ID: INV-CA-01]</w:t>
      </w:r>
      <w:r>
        <w:t xml:space="preserve">.</w:t>
      </w:r>
    </w:p>
    <w:p>
      <w:pPr>
        <w:pStyle w:val="Heading1"/>
        <w:spacing w:after="120" w:before="240"/>
      </w:pPr>
      <w:r>
        <w:t xml:space="preserve">Schedule A — PBC Item Summary (Meridian Manufacturing Co.)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200"/>
        <w:gridCol w:w="1400"/>
      </w:tblGrid>
      <w:tr>
        <w:tc>
          <w:tcPr>
            <w:tcW w:type="dxa" w:w="1400"/>
            <w:shd w:fill="D9D9D9" w:color="auto" w:val="clear"/>
          </w:tcPr>
          <w:p>
            <w:r>
              <w:rPr>
                <w:b/>
                <w:bCs/>
              </w:rPr>
              <w:t xml:space="preserve">Item ID</w:t>
            </w:r>
          </w:p>
        </w:tc>
        <w:tc>
          <w:tcPr>
            <w:tcW w:type="dxa" w:w="5000"/>
            <w:shd w:fill="D9D9D9" w:color="auto" w:val="clear"/>
          </w:tcPr>
          <w:p>
            <w:r>
              <w:rPr>
                <w:b/>
                <w:bCs/>
              </w:rPr>
              <w:t xml:space="preserve">Description</w:t>
            </w:r>
          </w:p>
        </w:tc>
        <w:tc>
          <w:tcPr>
            <w:tcW w:type="dxa" w:w="2200"/>
            <w:shd w:fill="D9D9D9" w:color="auto" w:val="clear"/>
          </w:tcPr>
          <w:p>
            <w:r>
              <w:rPr>
                <w:b/>
                <w:bCs/>
              </w:rPr>
              <w:t xml:space="preserve">Suggested Owner</w:t>
            </w:r>
          </w:p>
        </w:tc>
        <w:tc>
          <w:tcPr>
            <w:tcW w:type="dxa" w:w="1400"/>
            <w:shd w:fill="D9D9D9" w:color="auto" w:val="clear"/>
          </w:tcPr>
          <w:p>
            <w:r>
              <w:rPr>
                <w:b/>
                <w:bCs/>
              </w:rPr>
              <w:t xml:space="preserve">Confidentiality</w:t>
            </w:r>
          </w:p>
        </w:tc>
      </w:tr>
      <w:tr>
        <w:tc>
          <w:tcPr>
            <w:tcW w:type="dxa" w:w="1400"/>
          </w:tcPr>
          <w:p>
            <w:r>
              <w:rPr>
                <w:b w:val="false"/>
                <w:bCs w:val="false"/>
              </w:rPr>
              <w:t xml:space="preserve">RPT-04</w:t>
            </w:r>
          </w:p>
        </w:tc>
        <w:tc>
          <w:tcPr>
            <w:tcW w:type="dxa" w:w="5000"/>
          </w:tcPr>
          <w:p>
            <w:r>
              <w:rPr>
                <w:b w:val="false"/>
                <w:bCs w:val="false"/>
              </w:rPr>
              <w:t xml:space="preserve">Intercompany management fee agreement and calculation support with Meridian Global Holdings Inc.</w:t>
            </w:r>
          </w:p>
        </w:tc>
        <w:tc>
          <w:tcPr>
            <w:tcW w:type="dxa" w:w="2200"/>
          </w:tcPr>
          <w:p>
            <w:r>
              <w:rPr>
                <w:b w:val="false"/>
                <w:bCs w:val="false"/>
              </w:rPr>
              <w:t xml:space="preserve">Local Controller</w:t>
            </w:r>
          </w:p>
        </w:tc>
        <w:tc>
          <w:tcPr>
            <w:tcW w:type="dxa" w:w="1400"/>
          </w:tcPr>
          <w:p>
            <w:r>
              <w:rPr>
                <w:b w:val="false"/>
                <w:bCs w:val="false"/>
              </w:rPr>
              <w:t xml:space="preserve">Restricted</w:t>
            </w:r>
          </w:p>
        </w:tc>
      </w:tr>
      <w:tr>
        <w:tc>
          <w:tcPr>
            <w:tcW w:type="dxa" w:w="1400"/>
          </w:tcPr>
          <w:p>
            <w:r>
              <w:rPr>
                <w:b w:val="false"/>
                <w:bCs w:val="false"/>
              </w:rPr>
              <w:t xml:space="preserve">RPT-05</w:t>
            </w:r>
          </w:p>
        </w:tc>
        <w:tc>
          <w:tcPr>
            <w:tcW w:type="dxa" w:w="5000"/>
          </w:tcPr>
          <w:p>
            <w:r>
              <w:rPr>
                <w:b w:val="false"/>
                <w:bCs w:val="false"/>
              </w:rPr>
              <w:t xml:space="preserve">Intercompany loan agreement and interest calculation with Meridian Global Holdings Inc.</w:t>
            </w:r>
          </w:p>
        </w:tc>
        <w:tc>
          <w:tcPr>
            <w:tcW w:type="dxa" w:w="2200"/>
          </w:tcPr>
          <w:p>
            <w:r>
              <w:rPr>
                <w:b w:val="false"/>
                <w:bCs w:val="false"/>
              </w:rPr>
              <w:t xml:space="preserve">Local Controller</w:t>
            </w:r>
          </w:p>
        </w:tc>
        <w:tc>
          <w:tcPr>
            <w:tcW w:type="dxa" w:w="1400"/>
          </w:tcPr>
          <w:p>
            <w:r>
              <w:rPr>
                <w:b w:val="false"/>
                <w:bCs w:val="false"/>
              </w:rPr>
              <w:t xml:space="preserve">Restricted</w:t>
            </w:r>
          </w:p>
        </w:tc>
      </w:tr>
      <w:tr>
        <w:tc>
          <w:tcPr>
            <w:tcW w:type="dxa" w:w="1400"/>
          </w:tcPr>
          <w:p>
            <w:r>
              <w:rPr>
                <w:b w:val="false"/>
                <w:bCs w:val="false"/>
              </w:rPr>
              <w:t xml:space="preserve">PAY-CA-01</w:t>
            </w:r>
          </w:p>
        </w:tc>
        <w:tc>
          <w:tcPr>
            <w:tcW w:type="dxa" w:w="5000"/>
          </w:tcPr>
          <w:p>
            <w:r>
              <w:rPr>
                <w:b w:val="false"/>
                <w:bCs w:val="false"/>
              </w:rPr>
              <w:t xml:space="preserve">Local CEO executive compensation, including bonus plan tied to related party approval</w:t>
            </w:r>
          </w:p>
        </w:tc>
        <w:tc>
          <w:tcPr>
            <w:tcW w:type="dxa" w:w="2200"/>
          </w:tcPr>
          <w:p>
            <w:r>
              <w:rPr>
                <w:b w:val="false"/>
                <w:bCs w:val="false"/>
              </w:rPr>
              <w:t xml:space="preserve">Local CEO's office / HR</w:t>
            </w:r>
          </w:p>
        </w:tc>
        <w:tc>
          <w:tcPr>
            <w:tcW w:type="dxa" w:w="1400"/>
          </w:tcPr>
          <w:p>
            <w:r>
              <w:rPr>
                <w:b w:val="false"/>
                <w:bCs w:val="false"/>
              </w:rPr>
              <w:t xml:space="preserve">Restricted</w:t>
            </w:r>
          </w:p>
        </w:tc>
      </w:tr>
      <w:tr>
        <w:tc>
          <w:tcPr>
            <w:tcW w:type="dxa" w:w="1400"/>
          </w:tcPr>
          <w:p>
            <w:r>
              <w:rPr>
                <w:b w:val="false"/>
                <w:bCs w:val="false"/>
              </w:rPr>
              <w:t xml:space="preserve">LIT-CA-01</w:t>
            </w:r>
          </w:p>
        </w:tc>
        <w:tc>
          <w:tcPr>
            <w:tcW w:type="dxa" w:w="5000"/>
          </w:tcPr>
          <w:p>
            <w:r>
              <w:rPr>
                <w:b w:val="false"/>
                <w:bCs w:val="false"/>
              </w:rPr>
              <w:t xml:space="preserve">Outside counsel confirmation letter — pending environmental claim</w:t>
            </w:r>
          </w:p>
        </w:tc>
        <w:tc>
          <w:tcPr>
            <w:tcW w:type="dxa" w:w="2200"/>
          </w:tcPr>
          <w:p>
            <w:r>
              <w:rPr>
                <w:b w:val="false"/>
                <w:bCs w:val="false"/>
              </w:rPr>
              <w:t xml:space="preserve">Local Counsel</w:t>
            </w:r>
          </w:p>
        </w:tc>
        <w:tc>
          <w:tcPr>
            <w:tcW w:type="dxa" w:w="1400"/>
          </w:tcPr>
          <w:p>
            <w:r>
              <w:rPr>
                <w:b w:val="false"/>
                <w:bCs w:val="false"/>
              </w:rPr>
              <w:t xml:space="preserve">Restricted</w:t>
            </w:r>
          </w:p>
        </w:tc>
      </w:tr>
      <w:tr>
        <w:tc>
          <w:tcPr>
            <w:tcW w:type="dxa" w:w="1400"/>
          </w:tcPr>
          <w:p>
            <w:r>
              <w:rPr>
                <w:b w:val="false"/>
                <w:bCs w:val="false"/>
              </w:rPr>
              <w:t xml:space="preserve">PPE-CA-01</w:t>
            </w:r>
          </w:p>
        </w:tc>
        <w:tc>
          <w:tcPr>
            <w:tcW w:type="dxa" w:w="5000"/>
          </w:tcPr>
          <w:p>
            <w:r>
              <w:rPr>
                <w:b w:val="false"/>
                <w:bCs w:val="false"/>
              </w:rPr>
              <w:t xml:space="preserve">Fixed asset listing — manufacturing equipment, FY26</w:t>
            </w:r>
          </w:p>
        </w:tc>
        <w:tc>
          <w:tcPr>
            <w:tcW w:type="dxa" w:w="2200"/>
          </w:tcPr>
          <w:p>
            <w:r>
              <w:rPr>
                <w:b w:val="false"/>
                <w:bCs w:val="false"/>
              </w:rPr>
              <w:t xml:space="preserve">Plant Controller</w:t>
            </w:r>
          </w:p>
        </w:tc>
        <w:tc>
          <w:tcPr>
            <w:tcW w:type="dxa" w:w="1400"/>
          </w:tcPr>
          <w:p>
            <w:r>
              <w:rPr>
                <w:b w:val="false"/>
                <w:bCs w:val="false"/>
              </w:rPr>
              <w:t xml:space="preserve">Standard</w:t>
            </w:r>
          </w:p>
        </w:tc>
      </w:tr>
      <w:tr>
        <w:tc>
          <w:tcPr>
            <w:tcW w:type="dxa" w:w="1400"/>
          </w:tcPr>
          <w:p>
            <w:r>
              <w:rPr>
                <w:b w:val="false"/>
                <w:bCs w:val="false"/>
              </w:rPr>
              <w:t xml:space="preserve">INV-CA-01</w:t>
            </w:r>
          </w:p>
        </w:tc>
        <w:tc>
          <w:tcPr>
            <w:tcW w:type="dxa" w:w="5000"/>
          </w:tcPr>
          <w:p>
            <w:r>
              <w:rPr>
                <w:b w:val="false"/>
                <w:bCs w:val="false"/>
              </w:rPr>
              <w:t xml:space="preserve">Standard costing support and variance analysis, FY26</w:t>
            </w:r>
          </w:p>
        </w:tc>
        <w:tc>
          <w:tcPr>
            <w:tcW w:type="dxa" w:w="2200"/>
          </w:tcPr>
          <w:p>
            <w:r>
              <w:rPr>
                <w:b w:val="false"/>
                <w:bCs w:val="false"/>
              </w:rPr>
              <w:t xml:space="preserve">Plant Controller</w:t>
            </w:r>
          </w:p>
        </w:tc>
        <w:tc>
          <w:tcPr>
            <w:tcW w:type="dxa" w:w="1400"/>
          </w:tcPr>
          <w:p>
            <w:r>
              <w:rPr>
                <w:b w:val="false"/>
                <w:bCs w:val="false"/>
              </w:rPr>
              <w:t xml:space="preserve">Standard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2026-09-12T17:30:20.194Z</dcterms:created>
  <dcterms:modified xsi:type="dcterms:W3CDTF">2026-09-12T17:30:20.195Z</dcterms:modified>
</cp:coreProperties>
</file>

<file path=docProps/custom.xml><?xml version="1.0" encoding="utf-8"?>
<Properties xmlns="http://schemas.openxmlformats.org/officeDocument/2006/custom-properties" xmlns:vt="http://schemas.openxmlformats.org/officeDocument/2006/docPropsVTypes"/>
</file>