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MERIDIAN GLOBAL HOLDINGS INC. AND SUBSIDIARIES</w:t>
      </w:r>
    </w:p>
    <w:p>
      <w:pPr>
        <w:spacing w:after="80"/>
        <w:jc w:val="center"/>
      </w:pPr>
      <w:r>
        <w:t xml:space="preserve">Group Audit Program — Fiscal Year Ended December 31, 2026</w:t>
      </w:r>
    </w:p>
    <w:p>
      <w:pPr>
        <w:spacing w:after="300"/>
        <w:jc w:val="center"/>
      </w:pPr>
      <w:r>
        <w:t xml:space="preserve">Prepared by: Group Engagement Team  |  Consolidated PBC Requests — Parent Entity Level</w:t>
      </w:r>
    </w:p>
    <w:p>
      <w:pPr>
        <w:pStyle w:val="Heading1"/>
        <w:spacing w:after="120" w:before="240"/>
      </w:pPr>
      <w:r>
        <w:t xml:space="preserve">1. Engagement Overview</w:t>
      </w:r>
    </w:p>
    <w:p>
      <w:pPr>
        <w:spacing w:after="160"/>
      </w:pPr>
      <w:r>
        <w:t xml:space="preserve">The Company comprises Meridian Global Holdings Inc. (the "Parent," USD, Wilmington, Delaware) and three subsidiaries: Meridian Europe GmbH (Germany, EUR — significant component, audited by the network component audit team), Meridian Asia Pacific Pte Ltd (Singapore, SGD — significant component, audited directly by the group engagement team), and Meridian Manufacturing Co. (Canada, CAD — insignificant component with a specific risk relating to related party transactions with the Parent). This program addresses PBC requests at the Parent/consolidation level only; component-level requests are issued separately under each component's own audit program.</w:t>
      </w:r>
    </w:p>
    <w:p>
      <w:pPr>
        <w:pStyle w:val="Heading1"/>
        <w:spacing w:after="120" w:before="240"/>
      </w:pPr>
      <w:r>
        <w:t xml:space="preserve">2. Revenue (ISA 315 / ISA 330)</w:t>
      </w:r>
    </w:p>
    <w:p>
      <w:pPr>
        <w:spacing w:after="160"/>
      </w:pPr>
      <w:r>
        <w:t xml:space="preserve">The Company is requested to provide: (a) full detail of revenue transactions by customer, product line, and month for FY26</w:t>
      </w:r>
      <w:r>
        <w:rPr>
          <w:i/>
          <w:iCs/>
          <w:color w:val="555555"/>
        </w:rPr>
        <w:t xml:space="preserve">  [Item ID: REV-01]</w:t>
      </w:r>
      <w:r>
        <w:t xml:space="preserve">; and (b) standard sales contracts for the ten largest customers by FY26 revenue</w:t>
      </w:r>
      <w:r>
        <w:rPr>
          <w:i/>
          <w:iCs/>
          <w:color w:val="555555"/>
        </w:rPr>
        <w:t xml:space="preserve">  [Item ID: REV-02]</w:t>
      </w:r>
      <w:r>
        <w:t xml:space="preserve">.</w:t>
      </w:r>
    </w:p>
    <w:p>
      <w:pPr>
        <w:pStyle w:val="Heading1"/>
        <w:spacing w:after="120" w:before="240"/>
      </w:pPr>
      <w:r>
        <w:t xml:space="preserve">3. Property, Plant &amp; Equipment</w:t>
      </w:r>
    </w:p>
    <w:p>
      <w:pPr>
        <w:spacing w:after="160"/>
      </w:pPr>
      <w:r>
        <w:t xml:space="preserve">The Company is requested to provide: (a) a fixed asset continuity schedule showing beginning balance, additions, disposals, depreciation, and ending balance for FY26</w:t>
      </w:r>
      <w:r>
        <w:rPr>
          <w:i/>
          <w:iCs/>
          <w:color w:val="555555"/>
        </w:rPr>
        <w:t xml:space="preserve">  [Item ID: PPE-01]</w:t>
      </w:r>
      <w:r>
        <w:t xml:space="preserve">; and (b) capital expenditure approval documentation for any addition exceeding $500,000</w:t>
      </w:r>
      <w:r>
        <w:rPr>
          <w:i/>
          <w:iCs/>
          <w:color w:val="555555"/>
        </w:rPr>
        <w:t xml:space="preserve">  [Item ID: PPE-02]</w:t>
      </w:r>
      <w:r>
        <w:t xml:space="preserve">.</w:t>
      </w:r>
    </w:p>
    <w:p>
      <w:pPr>
        <w:pStyle w:val="Heading1"/>
        <w:spacing w:after="120" w:before="240"/>
      </w:pPr>
      <w:r>
        <w:t xml:space="preserve">4. Payroll &amp; Personnel</w:t>
      </w:r>
    </w:p>
    <w:p>
      <w:pPr>
        <w:spacing w:after="160"/>
      </w:pPr>
      <w:r>
        <w:t xml:space="preserve">The Company is requested to provide: (a) the FY26 payroll register for all US-based employees</w:t>
      </w:r>
      <w:r>
        <w:rPr>
          <w:i/>
          <w:iCs/>
          <w:color w:val="555555"/>
        </w:rPr>
        <w:t xml:space="preserve">  [Item ID: PAY-01]</w:t>
      </w:r>
      <w:r>
        <w:t xml:space="preserve">; and (b) a summary of executive compensation, including base salary, bonus, and equity awards, for all named executive officers</w:t>
      </w:r>
      <w:r>
        <w:rPr>
          <w:i/>
          <w:iCs/>
          <w:color w:val="990000"/>
        </w:rPr>
        <w:t xml:space="preserve">  [Item ID: PAY-02 — RESTRICTED]</w:t>
      </w:r>
      <w:r>
        <w:t xml:space="preserve">.</w:t>
      </w:r>
    </w:p>
    <w:p>
      <w:pPr>
        <w:pStyle w:val="Heading1"/>
        <w:spacing w:after="120" w:before="240"/>
      </w:pPr>
      <w:r>
        <w:t xml:space="preserve">5. Related Party Transactions</w:t>
      </w:r>
    </w:p>
    <w:p>
      <w:pPr>
        <w:spacing w:after="160"/>
      </w:pPr>
      <w:r>
        <w:t xml:space="preserve">The Company is requested to provide a listing of all related party transactions and balances for the consolidated group, including intercompany loans, management fee arrangements, and cost allocations</w:t>
      </w:r>
      <w:r>
        <w:rPr>
          <w:i/>
          <w:iCs/>
          <w:color w:val="990000"/>
        </w:rPr>
        <w:t xml:space="preserve">  [Item ID: RPT-01 — RESTRICTED]</w:t>
      </w:r>
      <w:r>
        <w:t xml:space="preserve">. Component-level related party support is requested separately from Meridian Manufacturing Co. — see that entity's audit program (Item RPT-04).</w:t>
      </w:r>
    </w:p>
    <w:p>
      <w:pPr>
        <w:pStyle w:val="Heading1"/>
        <w:spacing w:after="120" w:before="240"/>
      </w:pPr>
      <w:r>
        <w:t xml:space="preserve">6. Going Concern &amp; Liquidity</w:t>
      </w:r>
    </w:p>
    <w:p>
      <w:pPr>
        <w:spacing w:after="160"/>
      </w:pPr>
      <w:r>
        <w:t xml:space="preserve">The Company is requested to provide: (a) a board-approved cash flow forecast covering twelve months from the anticipated report date</w:t>
      </w:r>
      <w:r>
        <w:rPr>
          <w:i/>
          <w:iCs/>
          <w:color w:val="555555"/>
        </w:rPr>
        <w:t xml:space="preserve">  [Item ID: GC-01]</w:t>
      </w:r>
      <w:r>
        <w:t xml:space="preserve">; and (b) covenant compliance calculations under the Company's credit facility as of period end</w:t>
      </w:r>
      <w:r>
        <w:rPr>
          <w:i/>
          <w:iCs/>
          <w:color w:val="555555"/>
        </w:rPr>
        <w:t xml:space="preserve">  [Item ID: GC-02]</w:t>
      </w:r>
      <w:r>
        <w:t xml:space="preserve">.</w:t>
      </w:r>
    </w:p>
    <w:p>
      <w:pPr>
        <w:pStyle w:val="Heading1"/>
        <w:spacing w:after="120" w:before="240"/>
      </w:pPr>
      <w:r>
        <w:t xml:space="preserve">7. Litigation, Claims &amp; Assessments</w:t>
      </w:r>
    </w:p>
    <w:p>
      <w:pPr>
        <w:spacing w:after="160"/>
      </w:pPr>
      <w:r>
        <w:t xml:space="preserve">The Company is requested to provide a listing of outside legal counsel engaged during FY26, together with counsel contact details, for purposes of external legal confirmation</w:t>
      </w:r>
      <w:r>
        <w:rPr>
          <w:i/>
          <w:iCs/>
          <w:color w:val="990000"/>
        </w:rPr>
        <w:t xml:space="preserve">  [Item ID: LIT-01 — RESTRICTED]</w:t>
      </w:r>
      <w:r>
        <w:t xml:space="preserve">.</w:t>
      </w:r>
    </w:p>
    <w:p>
      <w:pPr>
        <w:pStyle w:val="Heading1"/>
        <w:spacing w:after="120" w:before="240"/>
      </w:pPr>
      <w:r>
        <w:t xml:space="preserve">8. Information Technology General Controls</w:t>
      </w:r>
    </w:p>
    <w:p>
      <w:pPr>
        <w:spacing w:after="160"/>
      </w:pPr>
      <w:r>
        <w:t xml:space="preserve">The Company is requested to provide a listing of all users with access to the Company's SAP ERP environment, including access level and date of last access review</w:t>
      </w:r>
      <w:r>
        <w:rPr>
          <w:i/>
          <w:iCs/>
          <w:color w:val="555555"/>
        </w:rPr>
        <w:t xml:space="preserve">  [Item ID: ITGC-01]</w:t>
      </w:r>
      <w:r>
        <w:t xml:space="preserve">.</w:t>
      </w:r>
    </w:p>
    <w:p>
      <w:pPr>
        <w:pStyle w:val="Heading1"/>
        <w:spacing w:after="120" w:before="240"/>
      </w:pPr>
      <w:r>
        <w:t xml:space="preserve">9. Employee Benefit Plans</w:t>
      </w:r>
    </w:p>
    <w:p>
      <w:pPr>
        <w:spacing w:after="160"/>
      </w:pPr>
      <w:r>
        <w:t xml:space="preserve">The Company is requested to provide support for the consolidated pension footnote disclosure, reconciled to the actuarial valuation prepared for Meridian Europe GmbH's defined benefit plan</w:t>
      </w:r>
      <w:r>
        <w:rPr>
          <w:i/>
          <w:iCs/>
          <w:color w:val="555555"/>
        </w:rPr>
        <w:t xml:space="preserve">  [Item ID: PEN-01]</w:t>
      </w:r>
      <w:r>
        <w:t xml:space="preserve">. Note: this item depends on receipt of the actuarial valuation report requested at the component level (see Meridian Europe GmbH PBC list).</w:t>
      </w:r>
    </w:p>
    <w:p>
      <w:pPr>
        <w:pStyle w:val="Heading1"/>
        <w:spacing w:after="120" w:before="240"/>
      </w:pPr>
      <w:r>
        <w:t xml:space="preserve">10. Corporate Governance (Recurring Item — Prior-Year Carryforward)</w:t>
      </w:r>
    </w:p>
    <w:p>
      <w:pPr>
        <w:spacing w:after="160"/>
      </w:pPr>
      <w:r>
        <w:t xml:space="preserve">The Company is requested to provide a current organizational chart and listing of officers and directors</w:t>
      </w:r>
      <w:r>
        <w:rPr>
          <w:i/>
          <w:iCs/>
          <w:color w:val="555555"/>
        </w:rPr>
        <w:t xml:space="preserve">  [Item ID: GOV-01]</w:t>
      </w:r>
      <w:r>
        <w:t xml:space="preserve">. This is a recurring item; per the FY25 file it was coordinated through Jennifer Voss, VP Corporate Secretary — role holder unconfirmed for FY26.</w:t>
      </w:r>
    </w:p>
    <w:p>
      <w:pPr>
        <w:pStyle w:val="Heading1"/>
        <w:spacing w:after="120" w:before="240"/>
      </w:pPr>
      <w:r>
        <w:t xml:space="preserve">11. Business Combinations — Meridian Nordics AB Acquisition</w:t>
      </w:r>
    </w:p>
    <w:p>
      <w:pPr>
        <w:spacing w:after="160"/>
      </w:pPr>
      <w:r>
        <w:t xml:space="preserve">The Company acquired Meridian Nordics AB (Sweden, SEK) effective July 1, 2026. Audit scope for this new component is limited to the opening balance sheet, purchase accounting, and the stub-period FY26 results. The Company is requested to provide: (a) preliminary purchase price allocation support, including fair value schedules for identifiable assets and liabilities as of the acquisition date</w:t>
      </w:r>
      <w:r>
        <w:rPr>
          <w:i/>
          <w:iCs/>
          <w:color w:val="990000"/>
        </w:rPr>
        <w:t xml:space="preserve">  [Item ID: PPA-01 — RESTRICTED]</w:t>
      </w:r>
      <w:r>
        <w:t xml:space="preserve">; and (b) the independent valuation specialist's report supporting the fair value of acquired intangible assets (customer relationships, trade name), to be obtained directly from the valuation firm</w:t>
      </w:r>
      <w:r>
        <w:rPr>
          <w:i/>
          <w:iCs/>
          <w:color w:val="555555"/>
        </w:rPr>
        <w:t xml:space="preserve">  [Item ID: VAL-NORDICS-01]</w:t>
      </w:r>
      <w:r>
        <w:t xml:space="preserve">. Item PPA-01 cannot be finalized until VAL-NORDICS-01 is received — see the engagement dependency map.</w:t>
      </w:r>
    </w:p>
    <w:p>
      <w:pPr>
        <w:pStyle w:val="Heading1"/>
        <w:spacing w:after="120" w:before="240"/>
      </w:pPr>
      <w:r>
        <w:t xml:space="preserve">12. Sample-Based and Fieldwork-Generated PBC Items</w:t>
      </w:r>
    </w:p>
    <w:p>
      <w:pPr>
        <w:spacing w:after="160"/>
      </w:pPr>
      <w:r>
        <w:t xml:space="preserve">This program lists the PBC items known in advance of fieldwork. Additional, entity- and area-specific requests will be issued during interim and final substantive testing once statistical or judgmental samples are pulled (e.g., supporting documentation for individually sampled revenue transactions, fixed asset additions, or payroll records). These items cannot be pre-listed because the specific population items selected are not known until testing occurs; they are tracked separately as they are generated, with expedited due dates reflecting fixed fieldwork windows, and each is cross-referenced back to the population-level item above that it was sampled from.</w:t>
      </w:r>
    </w:p>
    <w:p>
      <w:pPr>
        <w:pStyle w:val="Heading1"/>
        <w:spacing w:after="120" w:before="240"/>
      </w:pPr>
      <w:r>
        <w:t xml:space="preserve">Schedule A — PBC Item Summary (Parent / Consolidation Level)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200"/>
        <w:gridCol w:w="1600"/>
        <w:gridCol w:w="800"/>
      </w:tblGrid>
      <w:tr>
        <w:tc>
          <w:tcPr>
            <w:tcW w:type="dxa" w:w="1100"/>
            <w:shd w:fill="D9D9D9" w:color="auto" w:val="clear"/>
          </w:tcPr>
          <w:p>
            <w:r>
              <w:rPr>
                <w:b/>
                <w:bCs/>
              </w:rPr>
              <w:t xml:space="preserve">Item ID</w:t>
            </w:r>
          </w:p>
        </w:tc>
        <w:tc>
          <w:tcPr>
            <w:tcW w:type="dxa" w:w="4300"/>
            <w:shd w:fill="D9D9D9" w:color="auto" w:val="clear"/>
          </w:tcPr>
          <w:p>
            <w:r>
              <w:rPr>
                <w:b/>
                <w:bCs/>
              </w:rPr>
              <w:t xml:space="preserve">Description</w:t>
            </w:r>
          </w:p>
        </w:tc>
        <w:tc>
          <w:tcPr>
            <w:tcW w:type="dxa" w:w="2200"/>
            <w:shd w:fill="D9D9D9" w:color="auto" w:val="clear"/>
          </w:tcPr>
          <w:p>
            <w:r>
              <w:rPr>
                <w:b/>
                <w:bCs/>
              </w:rPr>
              <w:t xml:space="preserve">Suggested Owner</w:t>
            </w:r>
          </w:p>
        </w:tc>
        <w:tc>
          <w:tcPr>
            <w:tcW w:type="dxa" w:w="1600"/>
            <w:shd w:fill="D9D9D9" w:color="auto" w:val="clear"/>
          </w:tcPr>
          <w:p>
            <w:r>
              <w:rPr>
                <w:b/>
                <w:bCs/>
              </w:rPr>
              <w:t xml:space="preserve">ISA Area</w:t>
            </w:r>
          </w:p>
        </w:tc>
        <w:tc>
          <w:tcPr>
            <w:tcW w:type="dxa" w:w="800"/>
            <w:shd w:fill="D9D9D9" w:color="auto" w:val="clear"/>
          </w:tcPr>
          <w:p>
            <w:r>
              <w:rPr>
                <w:b/>
                <w:bCs/>
              </w:rPr>
              <w:t xml:space="preserve">Confidentiality</w:t>
            </w:r>
          </w:p>
        </w:tc>
      </w:tr>
      <w:tr>
        <w:tc>
          <w:tcPr>
            <w:tcW w:type="dxa" w:w="1100"/>
          </w:tcPr>
          <w:p>
            <w:r>
              <w:rPr>
                <w:b w:val="false"/>
                <w:bCs w:val="false"/>
              </w:rPr>
              <w:t xml:space="preserve">REV-01</w:t>
            </w:r>
          </w:p>
        </w:tc>
        <w:tc>
          <w:tcPr>
            <w:tcW w:type="dxa" w:w="4300"/>
          </w:tcPr>
          <w:p>
            <w:r>
              <w:rPr>
                <w:b w:val="false"/>
                <w:bCs w:val="false"/>
              </w:rPr>
              <w:t xml:space="preserve">Full detail of revenue transactions by customer, product line, and month, FY26</w:t>
            </w:r>
          </w:p>
        </w:tc>
        <w:tc>
          <w:tcPr>
            <w:tcW w:type="dxa" w:w="2200"/>
          </w:tcPr>
          <w:p>
            <w:r>
              <w:rPr>
                <w:b w:val="false"/>
                <w:bCs w:val="false"/>
              </w:rPr>
              <w:t xml:space="preserve">Controller</w:t>
            </w:r>
          </w:p>
        </w:tc>
        <w:tc>
          <w:tcPr>
            <w:tcW w:type="dxa" w:w="1600"/>
          </w:tcPr>
          <w:p>
            <w:r>
              <w:rPr>
                <w:b w:val="false"/>
                <w:bCs w:val="false"/>
              </w:rPr>
              <w:t xml:space="preserve">Revenue</w:t>
            </w:r>
          </w:p>
        </w:tc>
        <w:tc>
          <w:tcPr>
            <w:tcW w:type="dxa" w:w="800"/>
          </w:tcPr>
          <w:p>
            <w:r>
              <w:rPr>
                <w:b w:val="false"/>
                <w:bCs w:val="false"/>
              </w:rPr>
              <w:t xml:space="preserve">Standard</w:t>
            </w:r>
          </w:p>
        </w:tc>
      </w:tr>
      <w:tr>
        <w:tc>
          <w:tcPr>
            <w:tcW w:type="dxa" w:w="1100"/>
          </w:tcPr>
          <w:p>
            <w:r>
              <w:rPr>
                <w:b w:val="false"/>
                <w:bCs w:val="false"/>
              </w:rPr>
              <w:t xml:space="preserve">REV-02</w:t>
            </w:r>
          </w:p>
        </w:tc>
        <w:tc>
          <w:tcPr>
            <w:tcW w:type="dxa" w:w="4300"/>
          </w:tcPr>
          <w:p>
            <w:r>
              <w:rPr>
                <w:b w:val="false"/>
                <w:bCs w:val="false"/>
              </w:rPr>
              <w:t xml:space="preserve">Standard sales contracts for the ten largest customers by FY26 revenue</w:t>
            </w:r>
          </w:p>
        </w:tc>
        <w:tc>
          <w:tcPr>
            <w:tcW w:type="dxa" w:w="2200"/>
          </w:tcPr>
          <w:p>
            <w:r>
              <w:rPr>
                <w:b w:val="false"/>
                <w:bCs w:val="false"/>
              </w:rPr>
              <w:t xml:space="preserve">Controller</w:t>
            </w:r>
          </w:p>
        </w:tc>
        <w:tc>
          <w:tcPr>
            <w:tcW w:type="dxa" w:w="1600"/>
          </w:tcPr>
          <w:p>
            <w:r>
              <w:rPr>
                <w:b w:val="false"/>
                <w:bCs w:val="false"/>
              </w:rPr>
              <w:t xml:space="preserve">Revenue</w:t>
            </w:r>
          </w:p>
        </w:tc>
        <w:tc>
          <w:tcPr>
            <w:tcW w:type="dxa" w:w="800"/>
          </w:tcPr>
          <w:p>
            <w:r>
              <w:rPr>
                <w:b w:val="false"/>
                <w:bCs w:val="false"/>
              </w:rPr>
              <w:t xml:space="preserve">Standard</w:t>
            </w:r>
          </w:p>
        </w:tc>
      </w:tr>
      <w:tr>
        <w:tc>
          <w:tcPr>
            <w:tcW w:type="dxa" w:w="1100"/>
          </w:tcPr>
          <w:p>
            <w:r>
              <w:rPr>
                <w:b w:val="false"/>
                <w:bCs w:val="false"/>
              </w:rPr>
              <w:t xml:space="preserve">PPE-01</w:t>
            </w:r>
          </w:p>
        </w:tc>
        <w:tc>
          <w:tcPr>
            <w:tcW w:type="dxa" w:w="4300"/>
          </w:tcPr>
          <w:p>
            <w:r>
              <w:rPr>
                <w:b w:val="false"/>
                <w:bCs w:val="false"/>
              </w:rPr>
              <w:t xml:space="preserve">Fixed asset continuity schedule (beginning balance, additions, disposals, depreciation, ending balance), FY26</w:t>
            </w:r>
          </w:p>
        </w:tc>
        <w:tc>
          <w:tcPr>
            <w:tcW w:type="dxa" w:w="2200"/>
          </w:tcPr>
          <w:p>
            <w:r>
              <w:rPr>
                <w:b w:val="false"/>
                <w:bCs w:val="false"/>
              </w:rPr>
              <w:t xml:space="preserve">Controller</w:t>
            </w:r>
          </w:p>
        </w:tc>
        <w:tc>
          <w:tcPr>
            <w:tcW w:type="dxa" w:w="1600"/>
          </w:tcPr>
          <w:p>
            <w:r>
              <w:rPr>
                <w:b w:val="false"/>
                <w:bCs w:val="false"/>
              </w:rPr>
              <w:t xml:space="preserve">PPE</w:t>
            </w:r>
          </w:p>
        </w:tc>
        <w:tc>
          <w:tcPr>
            <w:tcW w:type="dxa" w:w="800"/>
          </w:tcPr>
          <w:p>
            <w:r>
              <w:rPr>
                <w:b w:val="false"/>
                <w:bCs w:val="false"/>
              </w:rPr>
              <w:t xml:space="preserve">Standard</w:t>
            </w:r>
          </w:p>
        </w:tc>
      </w:tr>
      <w:tr>
        <w:tc>
          <w:tcPr>
            <w:tcW w:type="dxa" w:w="1100"/>
          </w:tcPr>
          <w:p>
            <w:r>
              <w:rPr>
                <w:b w:val="false"/>
                <w:bCs w:val="false"/>
              </w:rPr>
              <w:t xml:space="preserve">PPE-02</w:t>
            </w:r>
          </w:p>
        </w:tc>
        <w:tc>
          <w:tcPr>
            <w:tcW w:type="dxa" w:w="4300"/>
          </w:tcPr>
          <w:p>
            <w:r>
              <w:rPr>
                <w:b w:val="false"/>
                <w:bCs w:val="false"/>
              </w:rPr>
              <w:t xml:space="preserve">Capital expenditure approval documentation for additions exceeding $500,000</w:t>
            </w:r>
          </w:p>
        </w:tc>
        <w:tc>
          <w:tcPr>
            <w:tcW w:type="dxa" w:w="2200"/>
          </w:tcPr>
          <w:p>
            <w:r>
              <w:rPr>
                <w:b w:val="false"/>
                <w:bCs w:val="false"/>
              </w:rPr>
              <w:t xml:space="preserve">Controller</w:t>
            </w:r>
          </w:p>
        </w:tc>
        <w:tc>
          <w:tcPr>
            <w:tcW w:type="dxa" w:w="1600"/>
          </w:tcPr>
          <w:p>
            <w:r>
              <w:rPr>
                <w:b w:val="false"/>
                <w:bCs w:val="false"/>
              </w:rPr>
              <w:t xml:space="preserve">PPE</w:t>
            </w:r>
          </w:p>
        </w:tc>
        <w:tc>
          <w:tcPr>
            <w:tcW w:type="dxa" w:w="800"/>
          </w:tcPr>
          <w:p>
            <w:r>
              <w:rPr>
                <w:b w:val="false"/>
                <w:bCs w:val="false"/>
              </w:rPr>
              <w:t xml:space="preserve">Standard</w:t>
            </w:r>
          </w:p>
        </w:tc>
      </w:tr>
      <w:tr>
        <w:tc>
          <w:tcPr>
            <w:tcW w:type="dxa" w:w="1100"/>
          </w:tcPr>
          <w:p>
            <w:r>
              <w:rPr>
                <w:b w:val="false"/>
                <w:bCs w:val="false"/>
              </w:rPr>
              <w:t xml:space="preserve">PAY-01</w:t>
            </w:r>
          </w:p>
        </w:tc>
        <w:tc>
          <w:tcPr>
            <w:tcW w:type="dxa" w:w="4300"/>
          </w:tcPr>
          <w:p>
            <w:r>
              <w:rPr>
                <w:b w:val="false"/>
                <w:bCs w:val="false"/>
              </w:rPr>
              <w:t xml:space="preserve">FY26 payroll register, all US-based employees</w:t>
            </w:r>
          </w:p>
        </w:tc>
        <w:tc>
          <w:tcPr>
            <w:tcW w:type="dxa" w:w="2200"/>
          </w:tcPr>
          <w:p>
            <w:r>
              <w:rPr>
                <w:b w:val="false"/>
                <w:bCs w:val="false"/>
              </w:rPr>
              <w:t xml:space="preserve">Payroll Manager</w:t>
            </w:r>
          </w:p>
        </w:tc>
        <w:tc>
          <w:tcPr>
            <w:tcW w:type="dxa" w:w="1600"/>
          </w:tcPr>
          <w:p>
            <w:r>
              <w:rPr>
                <w:b w:val="false"/>
                <w:bCs w:val="false"/>
              </w:rPr>
              <w:t xml:space="preserve">Payroll</w:t>
            </w:r>
          </w:p>
        </w:tc>
        <w:tc>
          <w:tcPr>
            <w:tcW w:type="dxa" w:w="800"/>
          </w:tcPr>
          <w:p>
            <w:r>
              <w:rPr>
                <w:b w:val="false"/>
                <w:bCs w:val="false"/>
              </w:rPr>
              <w:t xml:space="preserve">Sensitive</w:t>
            </w:r>
          </w:p>
        </w:tc>
      </w:tr>
      <w:tr>
        <w:tc>
          <w:tcPr>
            <w:tcW w:type="dxa" w:w="1100"/>
          </w:tcPr>
          <w:p>
            <w:r>
              <w:rPr>
                <w:b w:val="false"/>
                <w:bCs w:val="false"/>
              </w:rPr>
              <w:t xml:space="preserve">PAY-02</w:t>
            </w:r>
          </w:p>
        </w:tc>
        <w:tc>
          <w:tcPr>
            <w:tcW w:type="dxa" w:w="4300"/>
          </w:tcPr>
          <w:p>
            <w:r>
              <w:rPr>
                <w:b w:val="false"/>
                <w:bCs w:val="false"/>
              </w:rPr>
              <w:t xml:space="preserve">Executive compensation summary (base, bonus, equity awards) for named executive officers</w:t>
            </w:r>
          </w:p>
        </w:tc>
        <w:tc>
          <w:tcPr>
            <w:tcW w:type="dxa" w:w="2200"/>
          </w:tcPr>
          <w:p>
            <w:r>
              <w:rPr>
                <w:b w:val="false"/>
                <w:bCs w:val="false"/>
              </w:rPr>
              <w:t xml:space="preserve">CFO</w:t>
            </w:r>
          </w:p>
        </w:tc>
        <w:tc>
          <w:tcPr>
            <w:tcW w:type="dxa" w:w="1600"/>
          </w:tcPr>
          <w:p>
            <w:r>
              <w:rPr>
                <w:b w:val="false"/>
                <w:bCs w:val="false"/>
              </w:rPr>
              <w:t xml:space="preserve">Payroll</w:t>
            </w:r>
          </w:p>
        </w:tc>
        <w:tc>
          <w:tcPr>
            <w:tcW w:type="dxa" w:w="800"/>
          </w:tcPr>
          <w:p>
            <w:r>
              <w:rPr>
                <w:b w:val="false"/>
                <w:bCs w:val="false"/>
              </w:rPr>
              <w:t xml:space="preserve">Restricted</w:t>
            </w:r>
          </w:p>
        </w:tc>
      </w:tr>
      <w:tr>
        <w:tc>
          <w:tcPr>
            <w:tcW w:type="dxa" w:w="1100"/>
          </w:tcPr>
          <w:p>
            <w:r>
              <w:rPr>
                <w:b w:val="false"/>
                <w:bCs w:val="false"/>
              </w:rPr>
              <w:t xml:space="preserve">RPT-01</w:t>
            </w:r>
          </w:p>
        </w:tc>
        <w:tc>
          <w:tcPr>
            <w:tcW w:type="dxa" w:w="4300"/>
          </w:tcPr>
          <w:p>
            <w:r>
              <w:rPr>
                <w:b w:val="false"/>
                <w:bCs w:val="false"/>
              </w:rPr>
              <w:t xml:space="preserve">Listing of related party transactions and balances, consolidated group, including intercompany loans and management fee arrangements</w:t>
            </w:r>
          </w:p>
        </w:tc>
        <w:tc>
          <w:tcPr>
            <w:tcW w:type="dxa" w:w="2200"/>
          </w:tcPr>
          <w:p>
            <w:r>
              <w:rPr>
                <w:b w:val="false"/>
                <w:bCs w:val="false"/>
              </w:rPr>
              <w:t xml:space="preserve">CFO</w:t>
            </w:r>
          </w:p>
        </w:tc>
        <w:tc>
          <w:tcPr>
            <w:tcW w:type="dxa" w:w="1600"/>
          </w:tcPr>
          <w:p>
            <w:r>
              <w:rPr>
                <w:b w:val="false"/>
                <w:bCs w:val="false"/>
              </w:rPr>
              <w:t xml:space="preserve">Related Parties</w:t>
            </w:r>
          </w:p>
        </w:tc>
        <w:tc>
          <w:tcPr>
            <w:tcW w:type="dxa" w:w="800"/>
          </w:tcPr>
          <w:p>
            <w:r>
              <w:rPr>
                <w:b w:val="false"/>
                <w:bCs w:val="false"/>
              </w:rPr>
              <w:t xml:space="preserve">Restricted</w:t>
            </w:r>
          </w:p>
        </w:tc>
      </w:tr>
      <w:tr>
        <w:tc>
          <w:tcPr>
            <w:tcW w:type="dxa" w:w="1100"/>
          </w:tcPr>
          <w:p>
            <w:r>
              <w:rPr>
                <w:b w:val="false"/>
                <w:bCs w:val="false"/>
              </w:rPr>
              <w:t xml:space="preserve">GC-01</w:t>
            </w:r>
          </w:p>
        </w:tc>
        <w:tc>
          <w:tcPr>
            <w:tcW w:type="dxa" w:w="4300"/>
          </w:tcPr>
          <w:p>
            <w:r>
              <w:rPr>
                <w:b w:val="false"/>
                <w:bCs w:val="false"/>
              </w:rPr>
              <w:t xml:space="preserve">Board-approved cash flow forecast, twelve months from anticipated report date</w:t>
            </w:r>
          </w:p>
        </w:tc>
        <w:tc>
          <w:tcPr>
            <w:tcW w:type="dxa" w:w="2200"/>
          </w:tcPr>
          <w:p>
            <w:r>
              <w:rPr>
                <w:b w:val="false"/>
                <w:bCs w:val="false"/>
              </w:rPr>
              <w:t xml:space="preserve">CFO</w:t>
            </w:r>
          </w:p>
        </w:tc>
        <w:tc>
          <w:tcPr>
            <w:tcW w:type="dxa" w:w="1600"/>
          </w:tcPr>
          <w:p>
            <w:r>
              <w:rPr>
                <w:b w:val="false"/>
                <w:bCs w:val="false"/>
              </w:rPr>
              <w:t xml:space="preserve">Going Concern</w:t>
            </w:r>
          </w:p>
        </w:tc>
        <w:tc>
          <w:tcPr>
            <w:tcW w:type="dxa" w:w="800"/>
          </w:tcPr>
          <w:p>
            <w:r>
              <w:rPr>
                <w:b w:val="false"/>
                <w:bCs w:val="false"/>
              </w:rPr>
              <w:t xml:space="preserve">Standard</w:t>
            </w:r>
          </w:p>
        </w:tc>
      </w:tr>
      <w:tr>
        <w:tc>
          <w:tcPr>
            <w:tcW w:type="dxa" w:w="1100"/>
          </w:tcPr>
          <w:p>
            <w:r>
              <w:rPr>
                <w:b w:val="false"/>
                <w:bCs w:val="false"/>
              </w:rPr>
              <w:t xml:space="preserve">GC-02</w:t>
            </w:r>
          </w:p>
        </w:tc>
        <w:tc>
          <w:tcPr>
            <w:tcW w:type="dxa" w:w="4300"/>
          </w:tcPr>
          <w:p>
            <w:r>
              <w:rPr>
                <w:b w:val="false"/>
                <w:bCs w:val="false"/>
              </w:rPr>
              <w:t xml:space="preserve">Covenant compliance calculations, credit facility, as of period end</w:t>
            </w:r>
          </w:p>
        </w:tc>
        <w:tc>
          <w:tcPr>
            <w:tcW w:type="dxa" w:w="2200"/>
          </w:tcPr>
          <w:p>
            <w:r>
              <w:rPr>
                <w:b w:val="false"/>
                <w:bCs w:val="false"/>
              </w:rPr>
              <w:t xml:space="preserve">Treasury</w:t>
            </w:r>
          </w:p>
        </w:tc>
        <w:tc>
          <w:tcPr>
            <w:tcW w:type="dxa" w:w="1600"/>
          </w:tcPr>
          <w:p>
            <w:r>
              <w:rPr>
                <w:b w:val="false"/>
                <w:bCs w:val="false"/>
              </w:rPr>
              <w:t xml:space="preserve">Going Concern</w:t>
            </w:r>
          </w:p>
        </w:tc>
        <w:tc>
          <w:tcPr>
            <w:tcW w:type="dxa" w:w="800"/>
          </w:tcPr>
          <w:p>
            <w:r>
              <w:rPr>
                <w:b w:val="false"/>
                <w:bCs w:val="false"/>
              </w:rPr>
              <w:t xml:space="preserve">Standard</w:t>
            </w:r>
          </w:p>
        </w:tc>
      </w:tr>
      <w:tr>
        <w:tc>
          <w:tcPr>
            <w:tcW w:type="dxa" w:w="1100"/>
          </w:tcPr>
          <w:p>
            <w:r>
              <w:rPr>
                <w:b w:val="false"/>
                <w:bCs w:val="false"/>
              </w:rPr>
              <w:t xml:space="preserve">LIT-01</w:t>
            </w:r>
          </w:p>
        </w:tc>
        <w:tc>
          <w:tcPr>
            <w:tcW w:type="dxa" w:w="4300"/>
          </w:tcPr>
          <w:p>
            <w:r>
              <w:rPr>
                <w:b w:val="false"/>
                <w:bCs w:val="false"/>
              </w:rPr>
              <w:t xml:space="preserve">Listing of outside legal counsel engaged during FY26, with contact details, for external legal confirmation</w:t>
            </w:r>
          </w:p>
        </w:tc>
        <w:tc>
          <w:tcPr>
            <w:tcW w:type="dxa" w:w="2200"/>
          </w:tcPr>
          <w:p>
            <w:r>
              <w:rPr>
                <w:b w:val="false"/>
                <w:bCs w:val="false"/>
              </w:rPr>
              <w:t xml:space="preserve">General Counsel</w:t>
            </w:r>
          </w:p>
        </w:tc>
        <w:tc>
          <w:tcPr>
            <w:tcW w:type="dxa" w:w="1600"/>
          </w:tcPr>
          <w:p>
            <w:r>
              <w:rPr>
                <w:b w:val="false"/>
                <w:bCs w:val="false"/>
              </w:rPr>
              <w:t xml:space="preserve">Litigation</w:t>
            </w:r>
          </w:p>
        </w:tc>
        <w:tc>
          <w:tcPr>
            <w:tcW w:type="dxa" w:w="800"/>
          </w:tcPr>
          <w:p>
            <w:r>
              <w:rPr>
                <w:b w:val="false"/>
                <w:bCs w:val="false"/>
              </w:rPr>
              <w:t xml:space="preserve">Restricted</w:t>
            </w:r>
          </w:p>
        </w:tc>
      </w:tr>
      <w:tr>
        <w:tc>
          <w:tcPr>
            <w:tcW w:type="dxa" w:w="1100"/>
          </w:tcPr>
          <w:p>
            <w:r>
              <w:rPr>
                <w:b w:val="false"/>
                <w:bCs w:val="false"/>
              </w:rPr>
              <w:t xml:space="preserve">ITGC-01</w:t>
            </w:r>
          </w:p>
        </w:tc>
        <w:tc>
          <w:tcPr>
            <w:tcW w:type="dxa" w:w="4300"/>
          </w:tcPr>
          <w:p>
            <w:r>
              <w:rPr>
                <w:b w:val="false"/>
                <w:bCs w:val="false"/>
              </w:rPr>
              <w:t xml:space="preserve">Listing of SAP ERP users, access level, and date of last access review</w:t>
            </w:r>
          </w:p>
        </w:tc>
        <w:tc>
          <w:tcPr>
            <w:tcW w:type="dxa" w:w="2200"/>
          </w:tcPr>
          <w:p>
            <w:r>
              <w:rPr>
                <w:b w:val="false"/>
                <w:bCs w:val="false"/>
              </w:rPr>
              <w:t xml:space="preserve">IT Manager</w:t>
            </w:r>
          </w:p>
        </w:tc>
        <w:tc>
          <w:tcPr>
            <w:tcW w:type="dxa" w:w="1600"/>
          </w:tcPr>
          <w:p>
            <w:r>
              <w:rPr>
                <w:b w:val="false"/>
                <w:bCs w:val="false"/>
              </w:rPr>
              <w:t xml:space="preserve">ITGC</w:t>
            </w:r>
          </w:p>
        </w:tc>
        <w:tc>
          <w:tcPr>
            <w:tcW w:type="dxa" w:w="800"/>
          </w:tcPr>
          <w:p>
            <w:r>
              <w:rPr>
                <w:b w:val="false"/>
                <w:bCs w:val="false"/>
              </w:rPr>
              <w:t xml:space="preserve">Standard</w:t>
            </w:r>
          </w:p>
        </w:tc>
      </w:tr>
      <w:tr>
        <w:tc>
          <w:tcPr>
            <w:tcW w:type="dxa" w:w="1100"/>
          </w:tcPr>
          <w:p>
            <w:r>
              <w:rPr>
                <w:b w:val="false"/>
                <w:bCs w:val="false"/>
              </w:rPr>
              <w:t xml:space="preserve">PEN-01</w:t>
            </w:r>
          </w:p>
        </w:tc>
        <w:tc>
          <w:tcPr>
            <w:tcW w:type="dxa" w:w="4300"/>
          </w:tcPr>
          <w:p>
            <w:r>
              <w:rPr>
                <w:b w:val="false"/>
                <w:bCs w:val="false"/>
              </w:rPr>
              <w:t xml:space="preserve">Support for consolidated pension footnote disclosure, reconciled to component actuarial valuation (Meridian Europe GmbH)</w:t>
            </w:r>
          </w:p>
        </w:tc>
        <w:tc>
          <w:tcPr>
            <w:tcW w:type="dxa" w:w="2200"/>
          </w:tcPr>
          <w:p>
            <w:r>
              <w:rPr>
                <w:b w:val="false"/>
                <w:bCs w:val="false"/>
              </w:rPr>
              <w:t xml:space="preserve">CFO</w:t>
            </w:r>
          </w:p>
        </w:tc>
        <w:tc>
          <w:tcPr>
            <w:tcW w:type="dxa" w:w="1600"/>
          </w:tcPr>
          <w:p>
            <w:r>
              <w:rPr>
                <w:b w:val="false"/>
                <w:bCs w:val="false"/>
              </w:rPr>
              <w:t xml:space="preserve">Employee Benefit Plans</w:t>
            </w:r>
          </w:p>
        </w:tc>
        <w:tc>
          <w:tcPr>
            <w:tcW w:type="dxa" w:w="800"/>
          </w:tcPr>
          <w:p>
            <w:r>
              <w:rPr>
                <w:b w:val="false"/>
                <w:bCs w:val="false"/>
              </w:rPr>
              <w:t xml:space="preserve">Sensitive</w:t>
            </w:r>
          </w:p>
        </w:tc>
      </w:tr>
      <w:tr>
        <w:tc>
          <w:tcPr>
            <w:tcW w:type="dxa" w:w="1100"/>
          </w:tcPr>
          <w:p>
            <w:r>
              <w:rPr>
                <w:b w:val="false"/>
                <w:bCs w:val="false"/>
              </w:rPr>
              <w:t xml:space="preserve">GOV-01</w:t>
            </w:r>
          </w:p>
        </w:tc>
        <w:tc>
          <w:tcPr>
            <w:tcW w:type="dxa" w:w="4300"/>
          </w:tcPr>
          <w:p>
            <w:r>
              <w:rPr>
                <w:b w:val="false"/>
                <w:bCs w:val="false"/>
              </w:rPr>
              <w:t xml:space="preserve">Current organizational chart and listing of officers and directors (recurring item)</w:t>
            </w:r>
          </w:p>
        </w:tc>
        <w:tc>
          <w:tcPr>
            <w:tcW w:type="dxa" w:w="2200"/>
          </w:tcPr>
          <w:p>
            <w:r>
              <w:rPr>
                <w:b w:val="false"/>
                <w:bCs w:val="false"/>
              </w:rPr>
              <w:t xml:space="preserve">Corporate Secretary — role holder per FY25 file: Jennifer Voss (unconfirmed for FY26)</w:t>
            </w:r>
          </w:p>
        </w:tc>
        <w:tc>
          <w:tcPr>
            <w:tcW w:type="dxa" w:w="1600"/>
          </w:tcPr>
          <w:p>
            <w:r>
              <w:rPr>
                <w:b w:val="false"/>
                <w:bCs w:val="false"/>
              </w:rPr>
              <w:t xml:space="preserve">Corporate Governance</w:t>
            </w:r>
          </w:p>
        </w:tc>
        <w:tc>
          <w:tcPr>
            <w:tcW w:type="dxa" w:w="800"/>
          </w:tcPr>
          <w:p>
            <w:r>
              <w:rPr>
                <w:b w:val="false"/>
                <w:bCs w:val="false"/>
              </w:rPr>
              <w:t xml:space="preserve">Standard</w:t>
            </w:r>
          </w:p>
        </w:tc>
      </w:tr>
      <w:tr>
        <w:tc>
          <w:tcPr>
            <w:tcW w:type="dxa" w:w="1100"/>
          </w:tcPr>
          <w:p>
            <w:r>
              <w:rPr>
                <w:b w:val="false"/>
                <w:bCs w:val="false"/>
              </w:rPr>
              <w:t xml:space="preserve">PPA-01</w:t>
            </w:r>
          </w:p>
        </w:tc>
        <w:tc>
          <w:tcPr>
            <w:tcW w:type="dxa" w:w="4300"/>
          </w:tcPr>
          <w:p>
            <w:r>
              <w:rPr>
                <w:b w:val="false"/>
                <w:bCs w:val="false"/>
              </w:rPr>
              <w:t xml:space="preserve">Preliminary purchase price allocation support and fair value schedules, Meridian Nordics AB acquisition (2026-07-01)</w:t>
            </w:r>
          </w:p>
        </w:tc>
        <w:tc>
          <w:tcPr>
            <w:tcW w:type="dxa" w:w="2200"/>
          </w:tcPr>
          <w:p>
            <w:r>
              <w:rPr>
                <w:b w:val="false"/>
                <w:bCs w:val="false"/>
              </w:rPr>
              <w:t xml:space="preserve">CFO</w:t>
            </w:r>
          </w:p>
        </w:tc>
        <w:tc>
          <w:tcPr>
            <w:tcW w:type="dxa" w:w="1600"/>
          </w:tcPr>
          <w:p>
            <w:r>
              <w:rPr>
                <w:b w:val="false"/>
                <w:bCs w:val="false"/>
              </w:rPr>
              <w:t xml:space="preserve">Business Combinations</w:t>
            </w:r>
          </w:p>
        </w:tc>
        <w:tc>
          <w:tcPr>
            <w:tcW w:type="dxa" w:w="800"/>
          </w:tcPr>
          <w:p>
            <w:r>
              <w:rPr>
                <w:b w:val="false"/>
                <w:bCs w:val="false"/>
              </w:rPr>
              <w:t xml:space="preserve">Restricted</w:t>
            </w:r>
          </w:p>
        </w:tc>
      </w:tr>
      <w:tr>
        <w:tc>
          <w:tcPr>
            <w:tcW w:type="dxa" w:w="1100"/>
          </w:tcPr>
          <w:p>
            <w:r>
              <w:rPr>
                <w:b w:val="false"/>
                <w:bCs w:val="false"/>
              </w:rPr>
              <w:t xml:space="preserve">VAL-NORDICS-01</w:t>
            </w:r>
          </w:p>
        </w:tc>
        <w:tc>
          <w:tcPr>
            <w:tcW w:type="dxa" w:w="4300"/>
          </w:tcPr>
          <w:p>
            <w:r>
              <w:rPr>
                <w:b w:val="false"/>
                <w:bCs w:val="false"/>
              </w:rPr>
              <w:t xml:space="preserve">Independent valuation specialist report — acquired intangible assets, Meridian Nordics AB</w:t>
            </w:r>
          </w:p>
        </w:tc>
        <w:tc>
          <w:tcPr>
            <w:tcW w:type="dxa" w:w="2200"/>
          </w:tcPr>
          <w:p>
            <w:r>
              <w:rPr>
                <w:b w:val="false"/>
                <w:bCs w:val="false"/>
              </w:rPr>
              <w:t xml:space="preserve">CFO (vendor-delivered)</w:t>
            </w:r>
          </w:p>
        </w:tc>
        <w:tc>
          <w:tcPr>
            <w:tcW w:type="dxa" w:w="1600"/>
          </w:tcPr>
          <w:p>
            <w:r>
              <w:rPr>
                <w:b w:val="false"/>
                <w:bCs w:val="false"/>
              </w:rPr>
              <w:t xml:space="preserve">Business Combinations</w:t>
            </w:r>
          </w:p>
        </w:tc>
        <w:tc>
          <w:tcPr>
            <w:tcW w:type="dxa" w:w="800"/>
          </w:tcPr>
          <w:p>
            <w:r>
              <w:rPr>
                <w:b w:val="false"/>
                <w:bCs w:val="false"/>
              </w:rPr>
              <w:t xml:space="preserve">Standard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2026-09-12T17:38:23.484Z</dcterms:created>
  <dcterms:modified xsi:type="dcterms:W3CDTF">2026-09-12T17:38:23.491Z</dcterms:modified>
</cp:coreProperties>
</file>

<file path=docProps/custom.xml><?xml version="1.0" encoding="utf-8"?>
<Properties xmlns="http://schemas.openxmlformats.org/officeDocument/2006/custom-properties" xmlns:vt="http://schemas.openxmlformats.org/officeDocument/2006/docPropsVTypes"/>
</file>