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Two tokenizers confirm Arabic requires 1.72-1.79x as many tokens as English for equivalent content (30 pairs, p &lt; 0.0001). On 140 Arabic reading-comprehension questions </w:t>
      </w:r>
      <w:r>
        <w:rPr>
          <w:highlight w:val="yellow"/>
        </w:rPr>
        <w:t xml:space="preserve">in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and remains equivalent to the unpruned answer; the advantage replicates under a token-budget-matched rerun, against LLMLingua-2, and on an independent fresh-sample replication.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penalty at low KV-cache occupancy; a higher-pressure ablation reaches 99.2% occupancy and confirms the dynamic controller adapts, though not that adapting beats a matched fixed ratio, so the memory-efficiency claim remains analytical. </w:t>
      </w:r>
      <w:r>
        <w:rPr>
          <w:highlight w:val="yellow"/>
        </w:rPr>
        <w:t xml:space="preserve">A true end-to-end benchmark that instead scores and prunes context inside the live request path finds a substantial, concurrency-dependent throughput penalty for LSPM, and a matched controller-versus-fixed-ratio comparison under memory pressure is a mixed result with no answer-quality data collected. </w:t>
      </w:r>
      <w:r>
        <w:rPr/>
        <w:t xml:space="preserve">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an 8.5-11.9% throughput deficit attributed to LSPM by a preliminary, unrepeated run that scored contexts inside the load generator itself does not survive removal of that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Both open items identified here have since been closed with new measurements, reported in Sections 4.11 and 4.12: a live, concurrent-load benchmark that scores and prunes context inside the online request path rather than reading it from a precomputed lookup, and a controller-versus-matched-fixed-ratio comparison run under the same constrained-cache-pool pressure as the redesigned ablation. Neither result is favorable enough to report as an unqualified improvement: the true end-to-end benchmark finds a substantial, concurrency-dependent throughput and completion-rate penalty relative to raw serving once the pruning step's own cost is included in the request path, and the controller comparison is a mixed result on serving latency with no answer-quality data collected.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and a further like-for-like comparison against a matched fixed ratio under the same pressure (Section 4.12) finds a mixed result on serving latency with no answer-quality data collected, so adapting the ratio is not shown to outperform a well-chosen fixed one.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w:t>
      </w:r>
      <w:r>
        <w:rPr>
          <w:highlight w:val="yellow"/>
        </w:rPr>
        <w:t xml:space="preserve">A further true end-to-end online benchmark (Section 4.11), scoring and pruning context inside the live request path rather than from a precomputed lookup, closes this paper's most important remaining open item by measuring a substantial, concurrency-dependent throughput and completion-rate penalty for LSPM relative to raw serving, in contrast to the generation-only benchmark's zero-measurable-penalty finding. </w:t>
      </w:r>
      <w:r>
        <w:rPr/>
        <w:t xml:space="preserve">(6)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every ratio after correction, most convincingly at r = 0.3 and 0.5, with the r = 0.7 gap the weakest of the three (its bootstrap interval and rank-based test disagree at the margin; Section 4.8).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(Sections 4.1-4.7), followed by three further validation studies (Sections 4.8-4.10) and two studies run specifically in response to peer review, a true end-to-end online serving benchmark and a controller-versus-matched-fixed-ratio comparison (Sections 4.11-4.12).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every ratio tested, most convincingly at r = 0.3 and 0.5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at this paper's full scale; a targeted 20-question check against that second backend is reported in Section 5, item (4b), so backend-to-backend variance is measured on a small subset rather than not measured at all, and should not be assumed to be small beyond that subset. This scoring step has a measured mean latency of 506.1 ms, single-request and CPU-only, over the same six-document candidate pool used in this paper's main baseline comparison (420 real measurements, Section 4.3); Section 4.11 reports the GPU-accelerated figure this same step produces when it runs on the same GPU as the vLLM server, inside a live concurrent-load benchmark. Every throughput/latency comparison in this paper that is described as "generation-only" (Sections 4.6, 5, and 6) reads contexts from a precomputed lookup and therefore measures the vLLM server's generation cost alone, excluding this 506.1 ms CPU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Two remedies close this gap, one analytical and one experimental: Section 4.3 reports the actual prompt tokens each method spent, computed offline from the released artifacts, which is a partial, descriptive fix (it shows what token budget the existing sentence-matched runs happened to use, without rerunning anything); Section 3.5.4 describes the fuller, experimental fix, a rerun in which naive truncation is given LSPM's own realized token budget directly rather than merely having it reported after the fact, with the result in Section 4.8.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(48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4.5-4.12)</w:t>
      </w:r>
    </w:p>
    <w:p>
      <w:pPr>
        <w:pStyle w:val="MDPI31text"/>
        <w:rPr/>
      </w:pPr>
      <w:r>
        <w:rPr/>
        <w:t xml:space="preserve">Beyond the core ARCD re-test above, this paper reports eight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(48 GiB).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48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31text"/>
        <w:rPr/>
      </w:pPr>
      <w:r>
        <w:rPr>
          <w:b/>
          <w:highlight w:val="yellow"/>
        </w:rPr>
        <w:t xml:space="preserve">3.5.7. True end-to-end online serving benchmark protocol (results in Section 4.11). </w:t>
      </w:r>
      <w:r>
        <w:rPr>
          <w:highlight w:val="yellow"/>
        </w:rPr>
        <w:t xml:space="preserve">Section 4.6's GPU benchmark and every "generation-only" comparison in this paper (Sections 4.6, 5, and 6) read a precomputed, already-pruned context from a lookup table before generation, so none of them include the cross-encoder scoring cost quantified separately in Section 3.1. To close this gap, we ran a new script (benchmark/run_online_e2e_benchmark.py) against a live, self-hosted vLLM server (a single rented RTX 4090 with 48 GiB of VRAM; Section 4.11 reports the full hardware disclosure) that performs retrieval, cross-encoder scoring, and pruning inside the request path itself, immediately before each generation call, rather than reading an already-pruned context from a lookup. Three context conditions were tested: raw (unpruned), LSPM at a fixed ratio, and naive length-matched truncation at the same ratio, crossed with four concurrency levels (1, 5, 10, and 20 concurrent requests) and three compression ratios (r = 0.3, 0.5, 0.7), for 60 requests per (condition, concurrency, ratio) cell. For every cell we recorded the pruning step's own latency separately from time-to-first-token (TTFT), total request latency, and achieved throughput (requests/s and tokens/s), so the cost of scoring and pruning inside the live request path is visible rather than hidden inside a generation-only figure.</w:t>
      </w:r>
    </w:p>
    <w:p>
      <w:pPr>
        <w:pStyle w:val="MDPI31text"/>
        <w:rPr/>
      </w:pPr>
      <w:r>
        <w:rPr>
          <w:b/>
          <w:highlight w:val="yellow"/>
        </w:rPr>
        <w:t xml:space="preserve">3.5.8. Controller-versus-matched-fixed-ratio comparison protocol (results in Section 4.12). </w:t>
      </w:r>
      <w:r>
        <w:rPr>
          <w:highlight w:val="yellow"/>
        </w:rPr>
        <w:t xml:space="preserve">Section 4.7's redesigned ablation established that the dynamic ratio controller's adaptive path engages under real cache pressure (occupancy reaching 99.2%) but, because the dynamic and fixed arms were not matched on average compression ratio, could not show whether adapting the ratio outperforms a fixed one. To close that comparison directly, we ran a new script (scripts/run_controller_vs_matched_fixed.py) under the same --gpu-memory-utilization 0.3 constrained cache pool as the redesigned ablation of Section 4.7, running two conditions back to back on the same RTX 4090 48 GiB card: "dynamic", in which the controller adjusts its ratio in response to live KV-cache occupancy exactly as in Section 4.7, and "matched_fixed", in which the ratio is held constant at the dynamic condition's own realized mean ratio for the run, so the two arms retain the same average compression ratio (a proxy for, but not identical to, an average retained-token match; Section 4.12). For every request in both conditions we logged the ratio in effect, the KV-cache occupancy at request time, TTFT, and total latency; the run was executed with the script's --skip-quality flag, so this comparison covers serving latency only and does not include an answer-quality comparison between the two conditions.</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an 8.5-11.9% throughput deficit that a preliminary, unrepeated run attributed to LSPM does not survive removal of the load-generator scoring cost, consistent with that deficit having been an artifact of scoring contexts inside the load generator rather than a property of the method itself.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 This generation-only scope is a real limit on what this benchmark shows, not a formality: Section 4.11 reports a true end-to-end benchmark that measures the cross-encoder's own scoring cost inside the live request path rather than excluding it, and finds that this generation-only zero-measurable-penalty result does not extend to concurrent-load online serving.</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(48 GiB).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The redesigned protocol below addresses that gap; this run's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proposed here was a fixed-r = 0.8 comparison, matching the dynamic condition's typical high-pressure operating ratio in this run. Section 4.12 instead matches the dynamic controller's own realized mean ratio over a fresh execution of the same load profile (0.565, not 0.8, since that fresh run's mean blends the low-pressure steps as well as the high-pressure ones); it finds a mixed result on serving latency between the two arms, with no answer-quality data collected, so this comparison has a measured answer on serving latency and remains open on answer quality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2heading2"/>
        <w:spacing w:before="240" w:after="60"/>
        <w:rPr/>
      </w:pPr>
      <w:r>
        <w:rPr/>
        <w:t xml:space="preserve">4.11. True End-to-End Online Serving Benchmark</w:t>
      </w:r>
    </w:p>
    <w:p>
      <w:pPr>
        <w:pStyle w:val="MDPI31text"/>
        <w:rPr/>
      </w:pPr>
      <w:r>
        <w:rPr>
          <w:highlight w:val="yellow"/>
        </w:rPr>
        <w:t xml:space="preserve">Under the protocol of Section 3.5.7, we reran the serving comparison with retrieval, cross-encoder scoring, and pruning executed live inside the request path against a self-hosted vLLM server on a single rented RTX 4090 with 48 GiB of VRAM, rather than reading an already-pruned context from a precomputed lookup as in Section 4.6. This is the concurrent-load, GPU-accelerated measurement that Section 3.1 identifies as still needed to complement its own CPU-only, single-request 506.1 ms figure, and it changes the picture: the pruning step's own latency running on GPU is far lower than on CPU (mean 34.3 ms at concurrency 1, averaged across r = 0.3/0.5/0.7, versus 506.1 ms on CPU), but once this cost is measured inside the live request path rather than excluded from it, LSPM's total-latency and throughput profile relative to raw, unpruned serving degrades sharply as concurrency rises, in contrast to Section 4.6's generation-only finding of no measurable penalty at any concurrency tested.</w:t>
      </w:r>
    </w:p>
    <w:p>
      <w:pPr>
        <w:pStyle w:val="MDPI41tablecaption"/>
        <w:rPr/>
      </w:pPr>
      <w:r>
        <w:rPr>
          <w:b/>
        </w:rPr>
        <w:t xml:space="preserve">Table 9. True end-to-end online serving benchmark at r = 0.5, four concurrency levels, 60 requests per (condition, concurrency) cell, each cell run once (protocol in Section 3.5.7). N is the count of requests that received a complete streamed response, out of 60 attempted; the remainder either received an HTTP error or exceeded the script's 120-second per-request timeout, most often the latter under load. Latency and time-to-first-token (TTFT) figures are means in milliseconds; throughput is completed requests per second. Ratios r = 0.3 and r = 0.7 show the same qualitative pattern and are summarized narratively below rather than tabulated in full.</w:t>
      </w:r>
    </w:p>
    <w:tbl>
      <w:tblPr>
        <w:tblW w:type="auto" w:w="0"/>
        <w:tblLook w:firstColumn="1" w:firstRow="1" w:lastColumn="0" w:lastRow="0" w:noHBand="0" w:noVBand="1" w:val="04A0"/>
        <w:bidiVisual w:val="0"/>
      </w:tblPr>
      <w:tblGrid>
        <w:gridCol w:w="1495"/>
        <w:gridCol w:w="1495"/>
        <w:gridCol w:w="1495"/>
        <w:gridCol w:w="1495"/>
        <w:gridCol w:w="1495"/>
        <w:gridCol w:w="1495"/>
        <w:gridCol w:w="1495"/>
      </w:tblGrid>
      <w:tr>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Conc.</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N/60</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Pruning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TTFT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Total lat.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Throughput req/s</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38.8</w:t>
            </w:r>
          </w:p>
        </w:tc>
        <w:tc>
          <w:tcPr>
            <w:tcW w:type="dxa" w:w="1495"/>
          </w:tcPr>
          <w:p>
            <w:pPr>
              <w:pStyle w:val="MDPI42tablebody"/>
              <w:bidi w:val="0"/>
            </w:pPr>
            <w:r>
              <w:rPr>
                <w:highlight w:val="yellow"/>
              </w:rPr>
            </w:r>
            <w:r>
              <w:rPr>
                <w:sz w:val="20"/>
                <w:highlight w:val="yellow"/>
              </w:rPr>
              <w:t>381.8</w:t>
            </w:r>
          </w:p>
        </w:tc>
        <w:tc>
          <w:tcPr>
            <w:tcW w:type="dxa" w:w="1495"/>
          </w:tcPr>
          <w:p>
            <w:pPr>
              <w:pStyle w:val="MDPI42tablebody"/>
              <w:bidi w:val="0"/>
            </w:pPr>
            <w:r>
              <w:rPr>
                <w:highlight w:val="yellow"/>
              </w:rPr>
            </w:r>
            <w:r>
              <w:rPr>
                <w:sz w:val="20"/>
                <w:highlight w:val="yellow"/>
              </w:rPr>
              <w:t>2.62</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54.0</w:t>
            </w:r>
          </w:p>
        </w:tc>
        <w:tc>
          <w:tcPr>
            <w:tcW w:type="dxa" w:w="1495"/>
          </w:tcPr>
          <w:p>
            <w:pPr>
              <w:pStyle w:val="MDPI42tablebody"/>
              <w:bidi w:val="0"/>
            </w:pPr>
            <w:r>
              <w:rPr>
                <w:highlight w:val="yellow"/>
              </w:rPr>
            </w:r>
            <w:r>
              <w:rPr>
                <w:sz w:val="20"/>
                <w:highlight w:val="yellow"/>
              </w:rPr>
              <w:t>436.2</w:t>
            </w:r>
          </w:p>
        </w:tc>
        <w:tc>
          <w:tcPr>
            <w:tcW w:type="dxa" w:w="1495"/>
          </w:tcPr>
          <w:p>
            <w:pPr>
              <w:pStyle w:val="MDPI42tablebody"/>
              <w:bidi w:val="0"/>
            </w:pPr>
            <w:r>
              <w:rPr>
                <w:highlight w:val="yellow"/>
              </w:rPr>
            </w:r>
            <w:r>
              <w:rPr>
                <w:sz w:val="20"/>
                <w:highlight w:val="yellow"/>
              </w:rPr>
              <w:t>11.23</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64.8</w:t>
            </w:r>
          </w:p>
        </w:tc>
        <w:tc>
          <w:tcPr>
            <w:tcW w:type="dxa" w:w="1495"/>
          </w:tcPr>
          <w:p>
            <w:pPr>
              <w:pStyle w:val="MDPI42tablebody"/>
              <w:bidi w:val="0"/>
            </w:pPr>
            <w:r>
              <w:rPr>
                <w:highlight w:val="yellow"/>
              </w:rPr>
            </w:r>
            <w:r>
              <w:rPr>
                <w:sz w:val="20"/>
                <w:highlight w:val="yellow"/>
              </w:rPr>
              <w:t>399.6</w:t>
            </w:r>
          </w:p>
        </w:tc>
        <w:tc>
          <w:tcPr>
            <w:tcW w:type="dxa" w:w="1495"/>
          </w:tcPr>
          <w:p>
            <w:pPr>
              <w:pStyle w:val="MDPI42tablebody"/>
              <w:bidi w:val="0"/>
            </w:pPr>
            <w:r>
              <w:rPr>
                <w:highlight w:val="yellow"/>
              </w:rPr>
            </w:r>
            <w:r>
              <w:rPr>
                <w:sz w:val="20"/>
                <w:highlight w:val="yellow"/>
              </w:rPr>
              <w:t>22.85</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102.6</w:t>
            </w:r>
          </w:p>
        </w:tc>
        <w:tc>
          <w:tcPr>
            <w:tcW w:type="dxa" w:w="1495"/>
          </w:tcPr>
          <w:p>
            <w:pPr>
              <w:pStyle w:val="MDPI42tablebody"/>
              <w:bidi w:val="0"/>
            </w:pPr>
            <w:r>
              <w:rPr>
                <w:highlight w:val="yellow"/>
              </w:rPr>
            </w:r>
            <w:r>
              <w:rPr>
                <w:sz w:val="20"/>
                <w:highlight w:val="yellow"/>
              </w:rPr>
              <w:t>516.2</w:t>
            </w:r>
          </w:p>
        </w:tc>
        <w:tc>
          <w:tcPr>
            <w:tcW w:type="dxa" w:w="1495"/>
          </w:tcPr>
          <w:p>
            <w:pPr>
              <w:pStyle w:val="MDPI42tablebody"/>
              <w:bidi w:val="0"/>
            </w:pPr>
            <w:r>
              <w:rPr>
                <w:highlight w:val="yellow"/>
              </w:rPr>
            </w:r>
            <w:r>
              <w:rPr>
                <w:sz w:val="20"/>
                <w:highlight w:val="yellow"/>
              </w:rPr>
              <w:t>35.20</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33.3</w:t>
            </w:r>
          </w:p>
        </w:tc>
        <w:tc>
          <w:tcPr>
            <w:tcW w:type="dxa" w:w="1495"/>
          </w:tcPr>
          <w:p>
            <w:pPr>
              <w:pStyle w:val="MDPI42tablebody"/>
              <w:bidi w:val="0"/>
            </w:pPr>
            <w:r>
              <w:rPr>
                <w:highlight w:val="yellow"/>
              </w:rPr>
            </w:r>
            <w:r>
              <w:rPr>
                <w:sz w:val="20"/>
                <w:highlight w:val="yellow"/>
              </w:rPr>
              <w:t>65.7</w:t>
            </w:r>
          </w:p>
        </w:tc>
        <w:tc>
          <w:tcPr>
            <w:tcW w:type="dxa" w:w="1495"/>
          </w:tcPr>
          <w:p>
            <w:pPr>
              <w:pStyle w:val="MDPI42tablebody"/>
              <w:bidi w:val="0"/>
            </w:pPr>
            <w:r>
              <w:rPr>
                <w:highlight w:val="yellow"/>
              </w:rPr>
            </w:r>
            <w:r>
              <w:rPr>
                <w:sz w:val="20"/>
                <w:highlight w:val="yellow"/>
              </w:rPr>
              <w:t>409.1</w:t>
            </w:r>
          </w:p>
        </w:tc>
        <w:tc>
          <w:tcPr>
            <w:tcW w:type="dxa" w:w="1495"/>
          </w:tcPr>
          <w:p>
            <w:pPr>
              <w:pStyle w:val="MDPI42tablebody"/>
              <w:bidi w:val="0"/>
            </w:pPr>
            <w:r>
              <w:rPr>
                <w:highlight w:val="yellow"/>
              </w:rPr>
            </w:r>
            <w:r>
              <w:rPr>
                <w:sz w:val="20"/>
                <w:highlight w:val="yellow"/>
              </w:rPr>
              <w:t>2.44</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69.9</w:t>
            </w:r>
          </w:p>
        </w:tc>
        <w:tc>
          <w:tcPr>
            <w:tcW w:type="dxa" w:w="1495"/>
          </w:tcPr>
          <w:p>
            <w:pPr>
              <w:pStyle w:val="MDPI42tablebody"/>
              <w:bidi w:val="0"/>
            </w:pPr>
            <w:r>
              <w:rPr>
                <w:highlight w:val="yellow"/>
              </w:rPr>
            </w:r>
            <w:r>
              <w:rPr>
                <w:sz w:val="20"/>
                <w:highlight w:val="yellow"/>
              </w:rPr>
              <w:t>125.1</w:t>
            </w:r>
          </w:p>
        </w:tc>
        <w:tc>
          <w:tcPr>
            <w:tcW w:type="dxa" w:w="1495"/>
          </w:tcPr>
          <w:p>
            <w:pPr>
              <w:pStyle w:val="MDPI42tablebody"/>
              <w:bidi w:val="0"/>
            </w:pPr>
            <w:r>
              <w:rPr>
                <w:highlight w:val="yellow"/>
              </w:rPr>
            </w:r>
            <w:r>
              <w:rPr>
                <w:sz w:val="20"/>
                <w:highlight w:val="yellow"/>
              </w:rPr>
              <w:t>534.6</w:t>
            </w:r>
          </w:p>
        </w:tc>
        <w:tc>
          <w:tcPr>
            <w:tcW w:type="dxa" w:w="1495"/>
          </w:tcPr>
          <w:p>
            <w:pPr>
              <w:pStyle w:val="MDPI42tablebody"/>
              <w:bidi w:val="0"/>
            </w:pPr>
            <w:r>
              <w:rPr>
                <w:highlight w:val="yellow"/>
              </w:rPr>
            </w:r>
            <w:r>
              <w:rPr>
                <w:sz w:val="20"/>
                <w:highlight w:val="yellow"/>
              </w:rPr>
              <w:t>8.89</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54</w:t>
            </w:r>
          </w:p>
        </w:tc>
        <w:tc>
          <w:tcPr>
            <w:tcW w:type="dxa" w:w="1495"/>
          </w:tcPr>
          <w:p>
            <w:pPr>
              <w:pStyle w:val="MDPI42tablebody"/>
              <w:bidi w:val="0"/>
            </w:pPr>
            <w:r>
              <w:rPr>
                <w:highlight w:val="yellow"/>
              </w:rPr>
            </w:r>
            <w:r>
              <w:rPr>
                <w:sz w:val="20"/>
                <w:highlight w:val="yellow"/>
              </w:rPr>
              <w:t>191.3</w:t>
            </w:r>
          </w:p>
        </w:tc>
        <w:tc>
          <w:tcPr>
            <w:tcW w:type="dxa" w:w="1495"/>
          </w:tcPr>
          <w:p>
            <w:pPr>
              <w:pStyle w:val="MDPI42tablebody"/>
              <w:bidi w:val="0"/>
            </w:pPr>
            <w:r>
              <w:rPr>
                <w:highlight w:val="yellow"/>
              </w:rPr>
            </w:r>
            <w:r>
              <w:rPr>
                <w:sz w:val="20"/>
                <w:highlight w:val="yellow"/>
              </w:rPr>
              <w:t>248.5</w:t>
            </w:r>
          </w:p>
        </w:tc>
        <w:tc>
          <w:tcPr>
            <w:tcW w:type="dxa" w:w="1495"/>
          </w:tcPr>
          <w:p>
            <w:pPr>
              <w:pStyle w:val="MDPI42tablebody"/>
              <w:bidi w:val="0"/>
            </w:pPr>
            <w:r>
              <w:rPr>
                <w:highlight w:val="yellow"/>
              </w:rPr>
            </w:r>
            <w:r>
              <w:rPr>
                <w:sz w:val="20"/>
                <w:highlight w:val="yellow"/>
              </w:rPr>
              <w:t>612.8</w:t>
            </w:r>
          </w:p>
        </w:tc>
        <w:tc>
          <w:tcPr>
            <w:tcW w:type="dxa" w:w="1495"/>
          </w:tcPr>
          <w:p>
            <w:pPr>
              <w:pStyle w:val="MDPI42tablebody"/>
              <w:bidi w:val="0"/>
            </w:pPr>
            <w:r>
              <w:rPr>
                <w:highlight w:val="yellow"/>
              </w:rPr>
            </w:r>
            <w:r>
              <w:rPr>
                <w:sz w:val="20"/>
                <w:highlight w:val="yellow"/>
              </w:rPr>
              <w:t>13.53</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27</w:t>
            </w:r>
          </w:p>
        </w:tc>
        <w:tc>
          <w:tcPr>
            <w:tcW w:type="dxa" w:w="1495"/>
          </w:tcPr>
          <w:p>
            <w:pPr>
              <w:pStyle w:val="MDPI42tablebody"/>
              <w:bidi w:val="0"/>
            </w:pPr>
            <w:r>
              <w:rPr>
                <w:highlight w:val="yellow"/>
              </w:rPr>
            </w:r>
            <w:r>
              <w:rPr>
                <w:sz w:val="20"/>
                <w:highlight w:val="yellow"/>
              </w:rPr>
              <w:t>375.4</w:t>
            </w:r>
          </w:p>
        </w:tc>
        <w:tc>
          <w:tcPr>
            <w:tcW w:type="dxa" w:w="1495"/>
          </w:tcPr>
          <w:p>
            <w:pPr>
              <w:pStyle w:val="MDPI42tablebody"/>
              <w:bidi w:val="0"/>
            </w:pPr>
            <w:r>
              <w:rPr>
                <w:highlight w:val="yellow"/>
              </w:rPr>
            </w:r>
            <w:r>
              <w:rPr>
                <w:sz w:val="20"/>
                <w:highlight w:val="yellow"/>
              </w:rPr>
              <w:t>433.5</w:t>
            </w:r>
          </w:p>
        </w:tc>
        <w:tc>
          <w:tcPr>
            <w:tcW w:type="dxa" w:w="1495"/>
          </w:tcPr>
          <w:p>
            <w:pPr>
              <w:pStyle w:val="MDPI42tablebody"/>
              <w:bidi w:val="0"/>
            </w:pPr>
            <w:r>
              <w:rPr>
                <w:highlight w:val="yellow"/>
              </w:rPr>
            </w:r>
            <w:r>
              <w:rPr>
                <w:sz w:val="20"/>
                <w:highlight w:val="yellow"/>
              </w:rPr>
              <w:t>838.3</w:t>
            </w:r>
          </w:p>
        </w:tc>
        <w:tc>
          <w:tcPr>
            <w:tcW w:type="dxa" w:w="1495"/>
          </w:tcPr>
          <w:p>
            <w:pPr>
              <w:pStyle w:val="MDPI42tablebody"/>
              <w:bidi w:val="0"/>
            </w:pPr>
            <w:r>
              <w:rPr>
                <w:highlight w:val="yellow"/>
              </w:rPr>
            </w:r>
            <w:r>
              <w:rPr>
                <w:sz w:val="20"/>
                <w:highlight w:val="yellow"/>
              </w:rPr>
              <w:t>10.15</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37.8</w:t>
            </w:r>
          </w:p>
        </w:tc>
        <w:tc>
          <w:tcPr>
            <w:tcW w:type="dxa" w:w="1495"/>
          </w:tcPr>
          <w:p>
            <w:pPr>
              <w:pStyle w:val="MDPI42tablebody"/>
              <w:bidi w:val="0"/>
            </w:pPr>
            <w:r>
              <w:rPr>
                <w:highlight w:val="yellow"/>
              </w:rPr>
            </w:r>
            <w:r>
              <w:rPr>
                <w:sz w:val="20"/>
                <w:highlight w:val="yellow"/>
              </w:rPr>
              <w:t>278.3</w:t>
            </w:r>
          </w:p>
        </w:tc>
        <w:tc>
          <w:tcPr>
            <w:tcW w:type="dxa" w:w="1495"/>
          </w:tcPr>
          <w:p>
            <w:pPr>
              <w:pStyle w:val="MDPI42tablebody"/>
              <w:bidi w:val="0"/>
            </w:pPr>
            <w:r>
              <w:rPr>
                <w:highlight w:val="yellow"/>
              </w:rPr>
            </w:r>
            <w:r>
              <w:rPr>
                <w:sz w:val="20"/>
                <w:highlight w:val="yellow"/>
              </w:rPr>
              <w:t>3.59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53.3</w:t>
            </w:r>
          </w:p>
        </w:tc>
        <w:tc>
          <w:tcPr>
            <w:tcW w:type="dxa" w:w="1495"/>
          </w:tcPr>
          <w:p>
            <w:pPr>
              <w:pStyle w:val="MDPI42tablebody"/>
              <w:bidi w:val="0"/>
            </w:pPr>
            <w:r>
              <w:rPr>
                <w:highlight w:val="yellow"/>
              </w:rPr>
            </w:r>
            <w:r>
              <w:rPr>
                <w:sz w:val="20"/>
                <w:highlight w:val="yellow"/>
              </w:rPr>
              <w:t>309.0</w:t>
            </w:r>
          </w:p>
        </w:tc>
        <w:tc>
          <w:tcPr>
            <w:tcW w:type="dxa" w:w="1495"/>
          </w:tcPr>
          <w:p>
            <w:pPr>
              <w:pStyle w:val="MDPI42tablebody"/>
              <w:bidi w:val="0"/>
            </w:pPr>
            <w:r>
              <w:rPr>
                <w:highlight w:val="yellow"/>
              </w:rPr>
            </w:r>
            <w:r>
              <w:rPr>
                <w:sz w:val="20"/>
                <w:highlight w:val="yellow"/>
              </w:rPr>
              <w:t>14.69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60.3</w:t>
            </w:r>
          </w:p>
        </w:tc>
        <w:tc>
          <w:tcPr>
            <w:tcW w:type="dxa" w:w="1495"/>
          </w:tcPr>
          <w:p>
            <w:pPr>
              <w:pStyle w:val="MDPI42tablebody"/>
              <w:bidi w:val="0"/>
            </w:pPr>
            <w:r>
              <w:rPr>
                <w:highlight w:val="yellow"/>
              </w:rPr>
            </w:r>
            <w:r>
              <w:rPr>
                <w:sz w:val="20"/>
                <w:highlight w:val="yellow"/>
              </w:rPr>
              <w:t>301.2</w:t>
            </w:r>
          </w:p>
        </w:tc>
        <w:tc>
          <w:tcPr>
            <w:tcW w:type="dxa" w:w="1495"/>
          </w:tcPr>
          <w:p>
            <w:pPr>
              <w:pStyle w:val="MDPI42tablebody"/>
              <w:bidi w:val="0"/>
            </w:pPr>
            <w:r>
              <w:rPr>
                <w:highlight w:val="yellow"/>
              </w:rPr>
            </w:r>
            <w:r>
              <w:rPr>
                <w:sz w:val="20"/>
                <w:highlight w:val="yellow"/>
              </w:rPr>
              <w:t>28.91</w:t>
            </w:r>
          </w:p>
        </w:tc>
      </w:tr>
      <w:tr>
        <w:tc>
          <w:tcPr>
            <w:tcW w:type="dxa" w:w="1495"/>
            <w:tcBorders>
              <w:bottom w:val="single" w:sz="8" w:space="0" w:color="000000"/>
            </w:tcBorders>
          </w:tcPr>
          <w:p>
            <w:pPr>
              <w:pStyle w:val="MDPI42tablebody"/>
              <w:bidi w:val="0"/>
            </w:pPr>
            <w:r>
              <w:rPr>
                <w:highlight w:val="yellow"/>
              </w:rPr>
            </w:r>
            <w:r>
              <w:rPr>
                <w:sz w:val="20"/>
                <w:highlight w:val="yellow"/>
              </w:rPr>
              <w:t>naive</w:t>
            </w:r>
          </w:p>
        </w:tc>
        <w:tc>
          <w:tcPr>
            <w:tcW w:type="dxa" w:w="1495"/>
            <w:tcBorders>
              <w:bottom w:val="single" w:sz="8" w:space="0" w:color="000000"/>
            </w:tcBorders>
          </w:tcPr>
          <w:p>
            <w:pPr>
              <w:pStyle w:val="MDPI42tablebody"/>
              <w:bidi w:val="0"/>
            </w:pPr>
            <w:r>
              <w:rPr>
                <w:highlight w:val="yellow"/>
              </w:rPr>
            </w:r>
            <w:r>
              <w:rPr>
                <w:sz w:val="20"/>
                <w:highlight w:val="yellow"/>
              </w:rPr>
              <w:t>20</w:t>
            </w:r>
          </w:p>
        </w:tc>
        <w:tc>
          <w:tcPr>
            <w:tcW w:type="dxa" w:w="1495"/>
            <w:tcBorders>
              <w:bottom w:val="single" w:sz="8" w:space="0" w:color="000000"/>
            </w:tcBorders>
          </w:tcPr>
          <w:p>
            <w:pPr>
              <w:pStyle w:val="MDPI42tablebody"/>
              <w:bidi w:val="0"/>
            </w:pPr>
            <w:r>
              <w:rPr>
                <w:highlight w:val="yellow"/>
              </w:rPr>
            </w:r>
            <w:r>
              <w:rPr>
                <w:sz w:val="20"/>
                <w:highlight w:val="yellow"/>
              </w:rPr>
              <w:t>60</w:t>
            </w:r>
          </w:p>
        </w:tc>
        <w:tc>
          <w:tcPr>
            <w:tcW w:type="dxa" w:w="1495"/>
            <w:tcBorders>
              <w:bottom w:val="single" w:sz="8" w:space="0" w:color="000000"/>
            </w:tcBorders>
          </w:tcPr>
          <w:p>
            <w:pPr>
              <w:pStyle w:val="MDPI42tablebody"/>
              <w:bidi w:val="0"/>
            </w:pPr>
            <w:r>
              <w:rPr>
                <w:highlight w:val="yellow"/>
              </w:rPr>
            </w:r>
            <w:r>
              <w:rPr>
                <w:sz w:val="20"/>
                <w:highlight w:val="yellow"/>
              </w:rPr>
              <w:t>0.2</w:t>
            </w:r>
          </w:p>
        </w:tc>
        <w:tc>
          <w:tcPr>
            <w:tcW w:type="dxa" w:w="1495"/>
            <w:tcBorders>
              <w:bottom w:val="single" w:sz="8" w:space="0" w:color="000000"/>
            </w:tcBorders>
          </w:tcPr>
          <w:p>
            <w:pPr>
              <w:pStyle w:val="MDPI42tablebody"/>
              <w:bidi w:val="0"/>
            </w:pPr>
            <w:r>
              <w:rPr>
                <w:highlight w:val="yellow"/>
              </w:rPr>
            </w:r>
            <w:r>
              <w:rPr>
                <w:sz w:val="20"/>
                <w:highlight w:val="yellow"/>
              </w:rPr>
              <w:t>81.1</w:t>
            </w:r>
          </w:p>
        </w:tc>
        <w:tc>
          <w:tcPr>
            <w:tcW w:type="dxa" w:w="1495"/>
            <w:tcBorders>
              <w:bottom w:val="single" w:sz="8" w:space="0" w:color="000000"/>
            </w:tcBorders>
          </w:tcPr>
          <w:p>
            <w:pPr>
              <w:pStyle w:val="MDPI42tablebody"/>
              <w:bidi w:val="0"/>
            </w:pPr>
            <w:r>
              <w:rPr>
                <w:highlight w:val="yellow"/>
              </w:rPr>
            </w:r>
            <w:r>
              <w:rPr>
                <w:sz w:val="20"/>
                <w:highlight w:val="yellow"/>
              </w:rPr>
              <w:t>347.4</w:t>
            </w:r>
          </w:p>
        </w:tc>
        <w:tc>
          <w:tcPr>
            <w:tcW w:type="dxa" w:w="1495"/>
            <w:tcBorders>
              <w:bottom w:val="single" w:sz="8" w:space="0" w:color="000000"/>
            </w:tcBorders>
          </w:tcPr>
          <w:p>
            <w:pPr>
              <w:pStyle w:val="MDPI42tablebody"/>
              <w:bidi w:val="0"/>
            </w:pPr>
            <w:r>
              <w:rPr>
                <w:highlight w:val="yellow"/>
              </w:rPr>
            </w:r>
            <w:r>
              <w:rPr>
                <w:sz w:val="20"/>
                <w:highlight w:val="yellow"/>
              </w:rPr>
              <w:t>48.48</w:t>
            </w:r>
          </w:p>
        </w:tc>
      </w:tr>
    </w:tbl>
    <w:p>
      <w:pPr>
        <w:pStyle w:val="MDPI31text"/>
        <w:rPr/>
      </w:pPr>
      <w:r>
        <w:rPr>
          <w:highlight w:val="yellow"/>
        </w:rPr>
        <w:t xml:space="preserve">Averaged across the three ratios tested (r = 0.3, 0.5, 0.7), LSPM's throughput relative to raw serving falls from 93.0% at concurrency 1 to 85.1% at concurrency 5, then to 59.0% at concurrency 10 (where only 83.3% of LSPM requests complete within the timeout, versus 100% for raw) and 29.4% at concurrency 20 (only 43.3% of LSPM requests complete). Naive truncation does not show this degradation at r = 0.5 or r = 0.7, where its throughput is comparable to or higher than raw; at r = 0.3 naive truncation is itself markedly slower than raw (throughput ratio 0.36-0.52), an asymmetry we report here without further interpretation, as untangling its cause is outside this benchmark's scope. Taken together, this benchmark gives this paper's most important open validation item a measured, unfavorable-at-scale answer rather than a stated gap: LSPM's zero-measurable-penalty finding in Section 4.6 holds specifically for the generation-only measurement it was designed to isolate, and does not extend to true end-to-end online serving under concurrent load, where the live cross-encoder scoring cost becomes a first-order bottleneck as concurrency increases.</w:t>
      </w:r>
    </w:p>
    <w:p>
      <w:pPr>
        <w:pStyle w:val="MDPI31text"/>
        <w:rPr/>
      </w:pPr>
      <w:r>
        <w:rPr>
          <w:highlight w:val="yellow"/>
        </w:rPr>
        <w:t xml:space="preserve">Three limits on this result are disclosed rather than smoothed over. First, this benchmark's harness runs a single instance of the cross-encoder, shared unbatched across every concurrent worker thread, on the same GPU that serves generation; at concurrency 20 that means up to 20 threads issuing individual, non-batched scoring calls against one model instance while vLLM also generates on the same card. Some of the reported LSPM slowdown may therefore reflect this harness's resource contention and lack of batching rather than a property inherent to semantic pruning itself; a production deployment that batches concurrent scoring requests or isolates the cross-encoder on separate hardware could plausibly show a smaller penalty, and this benchmark does not measure that configuration. Second, each cell was run once, not repeated, so the table reports point estimates with no confidence interval and no test of whether a given gap is distinguishable from run-to-run variance; unlike the main GPU benchmark's three-repeat design (Section 4.6), a single run here could overstate or understate the true effect at any one cell. Third, this benchmark and the one in Section 4.6 use different load-generation tools (a small thread pool here versus Locust there) and, per the protocol above, deliberately different context-construction paths (live versus precomputed), so the two are not a controlled contrast against each other and should each be read on its own terms rather than as a clean before/after comparison.</w:t>
      </w:r>
    </w:p>
    <w:p>
      <w:pPr>
        <w:pStyle w:val="MDPI22heading2"/>
        <w:spacing w:before="240" w:after="60"/>
        <w:rPr/>
      </w:pPr>
      <w:r>
        <w:rPr/>
        <w:t xml:space="preserve">4.12. Controller versus Matched-Fixed-Ratio Comparison Under Memory Pressure</w:t>
      </w:r>
    </w:p>
    <w:p>
      <w:pPr>
        <w:pStyle w:val="MDPI31text"/>
        <w:rPr/>
      </w:pPr>
      <w:r>
        <w:rPr>
          <w:highlight w:val="yellow"/>
        </w:rPr>
        <w:t xml:space="preserve">Under the protocol of Section 3.5.8, we reran the dynamic controller and a fixed-ratio condition matched to the controller's own realized mean ratio back to back under the same --gpu-memory-utilization 0.3 constrained cache pool as Section 4.7's redesigned ablation, on the same RTX 4090 48 GiB card used throughout this paper, logging every request's ratio, KV-cache occupancy, TTFT, and total latency. The two arms are matched on mean compression ratio, not on mean retained token count directly; because every request in this benchmark draws from the same six-document ARCD candidate pool (Section 3.4), a matched ratio is a reasonable proxy for a matched token budget here, but the two are not identical when per-question context length varies, and we report the match as ratio-based rather than describe it as token-matched. The run used the script's --skip-quality flag, so this comparison covers serving latency only.</w:t>
      </w:r>
    </w:p>
    <w:p>
      <w:pPr>
        <w:pStyle w:val="MDPI41tablecaption"/>
        <w:rPr/>
      </w:pPr>
      <w:r>
        <w:rPr>
          <w:b/>
        </w:rPr>
        <w:t xml:space="preserve">Table 10. Controller (dynamic) versus matched-fixed-ratio serving comparison under constrained cache pressure (protocol in Section 3.5.8). N is the count of completed requests logged for each condition over the run; the two conditions ran for the same wall-clock duration rather than the same request count. Latency and TTFT figures are means and 95th-percentile (p95) values in milliseconds.</w:t>
      </w:r>
    </w:p>
    <w:tbl>
      <w:tblPr>
        <w:tblW w:type="auto" w:w="0"/>
        <w:tblLook w:firstColumn="1" w:firstRow="1" w:lastColumn="0" w:lastRow="0" w:noHBand="0" w:noVBand="1" w:val="04A0"/>
        <w:bidiVisual w:val="0"/>
      </w:tblPr>
      <w:tblGrid>
        <w:gridCol w:w="1163"/>
        <w:gridCol w:w="1163"/>
        <w:gridCol w:w="1163"/>
        <w:gridCol w:w="1163"/>
        <w:gridCol w:w="1163"/>
        <w:gridCol w:w="1163"/>
        <w:gridCol w:w="1163"/>
        <w:gridCol w:w="1163"/>
        <w:gridCol w:w="1163"/>
      </w:tblGrid>
      <w:tr>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ratio</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Max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p95</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p95</w:t>
            </w:r>
          </w:p>
        </w:tc>
      </w:tr>
      <w:tr>
        <w:tc>
          <w:tcPr>
            <w:tcW w:type="dxa" w:w="1163"/>
          </w:tcPr>
          <w:p>
            <w:pPr>
              <w:pStyle w:val="MDPI42tablebody"/>
              <w:bidi w:val="0"/>
            </w:pPr>
            <w:r>
              <w:rPr>
                <w:highlight w:val="yellow"/>
              </w:rPr>
            </w:r>
            <w:r>
              <w:rPr>
                <w:sz w:val="20"/>
                <w:highlight w:val="yellow"/>
              </w:rPr>
              <w:t>dynamic</w:t>
            </w:r>
          </w:p>
        </w:tc>
        <w:tc>
          <w:tcPr>
            <w:tcW w:type="dxa" w:w="1163"/>
          </w:tcPr>
          <w:p>
            <w:pPr>
              <w:pStyle w:val="MDPI42tablebody"/>
              <w:bidi w:val="0"/>
            </w:pPr>
            <w:r>
              <w:rPr>
                <w:highlight w:val="yellow"/>
              </w:rPr>
            </w:r>
            <w:r>
              <w:rPr>
                <w:sz w:val="20"/>
                <w:highlight w:val="yellow"/>
              </w:rPr>
              <w:t>5,637</w:t>
            </w:r>
          </w:p>
        </w:tc>
        <w:tc>
          <w:tcPr>
            <w:tcW w:type="dxa" w:w="1163"/>
          </w:tcPr>
          <w:p>
            <w:pPr>
              <w:pStyle w:val="MDPI42tablebody"/>
              <w:bidi w:val="0"/>
            </w:pPr>
            <w:r>
              <w:rPr>
                <w:highlight w:val="yellow"/>
              </w:rPr>
            </w:r>
            <w:r>
              <w:rPr>
                <w:sz w:val="20"/>
                <w:highlight w:val="yellow"/>
              </w:rPr>
              <w:t>0.565 (0.2-0.8)</w:t>
            </w:r>
          </w:p>
        </w:tc>
        <w:tc>
          <w:tcPr>
            <w:tcW w:type="dxa" w:w="1163"/>
          </w:tcPr>
          <w:p>
            <w:pPr>
              <w:pStyle w:val="MDPI42tablebody"/>
              <w:bidi w:val="0"/>
            </w:pPr>
            <w:r>
              <w:rPr>
                <w:highlight w:val="yellow"/>
              </w:rPr>
            </w:r>
            <w:r>
              <w:rPr>
                <w:sz w:val="20"/>
                <w:highlight w:val="yellow"/>
              </w:rPr>
              <w:t>0.414</w:t>
            </w:r>
          </w:p>
        </w:tc>
        <w:tc>
          <w:tcPr>
            <w:tcW w:type="dxa" w:w="1163"/>
          </w:tcPr>
          <w:p>
            <w:pPr>
              <w:pStyle w:val="MDPI42tablebody"/>
              <w:bidi w:val="0"/>
            </w:pPr>
            <w:r>
              <w:rPr>
                <w:highlight w:val="yellow"/>
              </w:rPr>
            </w:r>
            <w:r>
              <w:rPr>
                <w:sz w:val="20"/>
                <w:highlight w:val="yellow"/>
              </w:rPr>
              <w:t>0.994</w:t>
            </w:r>
          </w:p>
        </w:tc>
        <w:tc>
          <w:tcPr>
            <w:tcW w:type="dxa" w:w="1163"/>
          </w:tcPr>
          <w:p>
            <w:pPr>
              <w:pStyle w:val="MDPI42tablebody"/>
              <w:bidi w:val="0"/>
            </w:pPr>
            <w:r>
              <w:rPr>
                <w:highlight w:val="yellow"/>
              </w:rPr>
            </w:r>
            <w:r>
              <w:rPr>
                <w:sz w:val="20"/>
                <w:highlight w:val="yellow"/>
              </w:rPr>
              <w:t>1,507.6</w:t>
            </w:r>
          </w:p>
        </w:tc>
        <w:tc>
          <w:tcPr>
            <w:tcW w:type="dxa" w:w="1163"/>
          </w:tcPr>
          <w:p>
            <w:pPr>
              <w:pStyle w:val="MDPI42tablebody"/>
              <w:bidi w:val="0"/>
            </w:pPr>
            <w:r>
              <w:rPr>
                <w:highlight w:val="yellow"/>
              </w:rPr>
            </w:r>
            <w:r>
              <w:rPr>
                <w:sz w:val="20"/>
                <w:highlight w:val="yellow"/>
              </w:rPr>
              <w:t>4,958.2</w:t>
            </w:r>
          </w:p>
        </w:tc>
        <w:tc>
          <w:tcPr>
            <w:tcW w:type="dxa" w:w="1163"/>
          </w:tcPr>
          <w:p>
            <w:pPr>
              <w:pStyle w:val="MDPI42tablebody"/>
              <w:bidi w:val="0"/>
            </w:pPr>
            <w:r>
              <w:rPr>
                <w:highlight w:val="yellow"/>
              </w:rPr>
            </w:r>
            <w:r>
              <w:rPr>
                <w:sz w:val="20"/>
                <w:highlight w:val="yellow"/>
              </w:rPr>
              <w:t>2,654.0</w:t>
            </w:r>
          </w:p>
        </w:tc>
        <w:tc>
          <w:tcPr>
            <w:tcW w:type="dxa" w:w="1163"/>
          </w:tcPr>
          <w:p>
            <w:pPr>
              <w:pStyle w:val="MDPI42tablebody"/>
              <w:bidi w:val="0"/>
            </w:pPr>
            <w:r>
              <w:rPr>
                <w:highlight w:val="yellow"/>
              </w:rPr>
            </w:r>
            <w:r>
              <w:rPr>
                <w:sz w:val="20"/>
                <w:highlight w:val="yellow"/>
              </w:rPr>
              <w:t>6,870.6</w:t>
            </w:r>
          </w:p>
        </w:tc>
      </w:tr>
      <w:tr>
        <w:tc>
          <w:tcPr>
            <w:tcW w:type="dxa" w:w="1163"/>
            <w:tcBorders>
              <w:bottom w:val="single" w:sz="8" w:space="0" w:color="000000"/>
            </w:tcBorders>
          </w:tcPr>
          <w:p>
            <w:pPr>
              <w:pStyle w:val="MDPI42tablebody"/>
              <w:bidi w:val="0"/>
            </w:pPr>
            <w:r>
              <w:rPr>
                <w:highlight w:val="yellow"/>
              </w:rPr>
            </w:r>
            <w:r>
              <w:rPr>
                <w:sz w:val="20"/>
                <w:highlight w:val="yellow"/>
              </w:rPr>
              <w:t>matched_fixed</w:t>
            </w:r>
          </w:p>
        </w:tc>
        <w:tc>
          <w:tcPr>
            <w:tcW w:type="dxa" w:w="1163"/>
            <w:tcBorders>
              <w:bottom w:val="single" w:sz="8" w:space="0" w:color="000000"/>
            </w:tcBorders>
          </w:tcPr>
          <w:p>
            <w:pPr>
              <w:pStyle w:val="MDPI42tablebody"/>
              <w:bidi w:val="0"/>
            </w:pPr>
            <w:r>
              <w:rPr>
                <w:highlight w:val="yellow"/>
              </w:rPr>
            </w:r>
            <w:r>
              <w:rPr>
                <w:sz w:val="20"/>
                <w:highlight w:val="yellow"/>
              </w:rPr>
              <w:t>6,299</w:t>
            </w:r>
          </w:p>
        </w:tc>
        <w:tc>
          <w:tcPr>
            <w:tcW w:type="dxa" w:w="1163"/>
            <w:tcBorders>
              <w:bottom w:val="single" w:sz="8" w:space="0" w:color="000000"/>
            </w:tcBorders>
          </w:tcPr>
          <w:p>
            <w:pPr>
              <w:pStyle w:val="MDPI42tablebody"/>
              <w:bidi w:val="0"/>
            </w:pPr>
            <w:r>
              <w:rPr>
                <w:highlight w:val="yellow"/>
              </w:rPr>
            </w:r>
            <w:r>
              <w:rPr>
                <w:sz w:val="20"/>
                <w:highlight w:val="yellow"/>
              </w:rPr>
              <w:t>0.565 (fixed)</w:t>
            </w:r>
          </w:p>
        </w:tc>
        <w:tc>
          <w:tcPr>
            <w:tcW w:type="dxa" w:w="1163"/>
            <w:tcBorders>
              <w:bottom w:val="single" w:sz="8" w:space="0" w:color="000000"/>
            </w:tcBorders>
          </w:tcPr>
          <w:p>
            <w:pPr>
              <w:pStyle w:val="MDPI42tablebody"/>
              <w:bidi w:val="0"/>
            </w:pPr>
            <w:r>
              <w:rPr>
                <w:highlight w:val="yellow"/>
              </w:rPr>
            </w:r>
            <w:r>
              <w:rPr>
                <w:sz w:val="20"/>
                <w:highlight w:val="yellow"/>
              </w:rPr>
              <w:t>0.516</w:t>
            </w:r>
          </w:p>
        </w:tc>
        <w:tc>
          <w:tcPr>
            <w:tcW w:type="dxa" w:w="1163"/>
            <w:tcBorders>
              <w:bottom w:val="single" w:sz="8" w:space="0" w:color="000000"/>
            </w:tcBorders>
          </w:tcPr>
          <w:p>
            <w:pPr>
              <w:pStyle w:val="MDPI42tablebody"/>
              <w:bidi w:val="0"/>
            </w:pPr>
            <w:r>
              <w:rPr>
                <w:highlight w:val="yellow"/>
              </w:rPr>
            </w:r>
            <w:r>
              <w:rPr>
                <w:sz w:val="20"/>
                <w:highlight w:val="yellow"/>
              </w:rPr>
              <w:t>0.995</w:t>
            </w:r>
          </w:p>
        </w:tc>
        <w:tc>
          <w:tcPr>
            <w:tcW w:type="dxa" w:w="1163"/>
            <w:tcBorders>
              <w:bottom w:val="single" w:sz="8" w:space="0" w:color="000000"/>
            </w:tcBorders>
          </w:tcPr>
          <w:p>
            <w:pPr>
              <w:pStyle w:val="MDPI42tablebody"/>
              <w:bidi w:val="0"/>
            </w:pPr>
            <w:r>
              <w:rPr>
                <w:highlight w:val="yellow"/>
              </w:rPr>
            </w:r>
            <w:r>
              <w:rPr>
                <w:sz w:val="20"/>
                <w:highlight w:val="yellow"/>
              </w:rPr>
              <w:t>1,525.5</w:t>
            </w:r>
          </w:p>
        </w:tc>
        <w:tc>
          <w:tcPr>
            <w:tcW w:type="dxa" w:w="1163"/>
            <w:tcBorders>
              <w:bottom w:val="single" w:sz="8" w:space="0" w:color="000000"/>
            </w:tcBorders>
          </w:tcPr>
          <w:p>
            <w:pPr>
              <w:pStyle w:val="MDPI42tablebody"/>
              <w:bidi w:val="0"/>
            </w:pPr>
            <w:r>
              <w:rPr>
                <w:highlight w:val="yellow"/>
              </w:rPr>
            </w:r>
            <w:r>
              <w:rPr>
                <w:sz w:val="20"/>
                <w:highlight w:val="yellow"/>
              </w:rPr>
              <w:t>3,783.3</w:t>
            </w:r>
          </w:p>
        </w:tc>
        <w:tc>
          <w:tcPr>
            <w:tcW w:type="dxa" w:w="1163"/>
            <w:tcBorders>
              <w:bottom w:val="single" w:sz="8" w:space="0" w:color="000000"/>
            </w:tcBorders>
          </w:tcPr>
          <w:p>
            <w:pPr>
              <w:pStyle w:val="MDPI42tablebody"/>
              <w:bidi w:val="0"/>
            </w:pPr>
            <w:r>
              <w:rPr>
                <w:highlight w:val="yellow"/>
              </w:rPr>
            </w:r>
            <w:r>
              <w:rPr>
                <w:sz w:val="20"/>
                <w:highlight w:val="yellow"/>
              </w:rPr>
              <w:t>2,880.4</w:t>
            </w:r>
          </w:p>
        </w:tc>
        <w:tc>
          <w:tcPr>
            <w:tcW w:type="dxa" w:w="1163"/>
            <w:tcBorders>
              <w:bottom w:val="single" w:sz="8" w:space="0" w:color="000000"/>
            </w:tcBorders>
          </w:tcPr>
          <w:p>
            <w:pPr>
              <w:pStyle w:val="MDPI42tablebody"/>
              <w:bidi w:val="0"/>
            </w:pPr>
            <w:r>
              <w:rPr>
                <w:highlight w:val="yellow"/>
              </w:rPr>
            </w:r>
            <w:r>
              <w:rPr>
                <w:sz w:val="20"/>
                <w:highlight w:val="yellow"/>
              </w:rPr>
              <w:t>7,302.7</w:t>
            </w:r>
          </w:p>
        </w:tc>
      </w:tr>
    </w:tbl>
    <w:p>
      <w:pPr>
        <w:pStyle w:val="MDPI31text"/>
        <w:rPr/>
      </w:pPr>
      <w:r>
        <w:rPr>
          <w:highlight w:val="yellow"/>
        </w:rPr>
        <w:t xml:space="preserve">The result is a mixed one, not a clean win for either arm: the dynamic controller has a lower mean TTFT (1,507.6 ms versus 1,525.5 ms), lower mean total latency (2,654.0 ms versus 2,880.4 ms), and a lower p95 total latency (6,870.6 ms versus 7,302.7 ms) than matched_fixed, but a substantially worse tail on time-to-first-token, with p95 TTFT 31% higher than matched_fixed (4,958.2 ms versus 3,783.3 ms). matched_fixed also completed more total requests over the same run duration (6,299 versus 5,637), consistent with its slightly higher mean occupancy (0.516 versus 0.414) reflecting a policy that, on average, retains a comparable amount of context with less adaptive overhead. Because --skip-quality was used, we have no answer-quality data at all for either condition in this run, so this comparison cannot establish whether the controller's adaptive behavior helps, hurts, or is neutral for answer quality relative to a fixed policy; it establishes only that, on serving latency alone, adapting the ratio is not a clear win over a well-chosen fixed ratio under this memory-pressure regime. This closes the comparison Section 4.7 left open, with a measured negative-to-mixed result rather than an unresolved gap, while leaving the answer-quality question for future work.</w:t>
      </w:r>
    </w:p>
    <w:p>
      <w:pPr>
        <w:pStyle w:val="MDPI31text"/>
        <w:rPr/>
      </w:pPr>
      <w:r>
        <w:rPr>
          <w:highlight w:val="yellow"/>
        </w:rPr>
        <w:t xml:space="preserve">Four further limits are disclosed rather than smoothed over. First, as in Section 4.11, this harness runs a single cross-encoder instance shared unbatched across every concurrent worker thread within a condition, on the same GPU serving generation; the load ramp here reaches 80 concurrent workers, well above Section 4.11's maximum of 20, so contention on this shared, unbatched instance is if anything a larger factor here, and could inflate both conditions' latencies similarly rather than necessarily bias the comparison between them. Second, the two conditions were not run in a counterbalanced or randomized order: dynamic always ran first, matched_fixed always second, so any drift in server state, thermal conditions, or system load between the two passes is confounded with condition rather than averaged out; we did not repeat the pair in reverse order to check for this. Third, no significance test accompanies the serving-latency comparison in Table 10: the reported means and p95 values are point estimates from one run per condition, not paired statistics with a confidence interval or a p-value, so a gap such as the 1.2% difference in mean TTFT should be read as within the range plausibly attributable to run-to-run noise rather than as a demonstrated effect, while the 31% p95 TTFT gap is large enough to be a more credible signal even without a formal test. Fourth, this run completed roughly nine times more requests per condition (5,637 and 6,299) than Section 4.7's redesigned ablation did under the identical load profile, dataset, and server configuration (653 and 655); the per-request total_latency_ms recorded in both runs is comparable (means of roughly 2.0-2.9 s in each), which rules out a simple generation-speed difference as the explanation. The timer that produces total_latency_ms starts only once a request is handed to the HTTP client, after the shared cross-encoder has already scored and pruned that request's context, so time a worker thread spends queued waiting for the shared, unbatched scorer under contention is invisible to every latency figure reported here; a run in which that queueing happened to be far more severe would show similar recorded per-request latencies while completing far fewer requests overall, which is consistent with what these two runs show. We report this as a plausible, code-consistent explanation grounded in the released logs rather than a confirmed cause, since the two runs were collected on separate rented GPU sessions two weeks apart and we cannot rule out other differences between those sessions.</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every ratio tested, on the same Arabic RAG workload, generator, retrieval pool, and questions used throughout this paper, most convincingly at r = 0.3 and 0.5, with the r = 0.7 gap the weakest of the three (its bootstrap interval and rank-based test disagree at the margin; Section 4.8).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highlight w:val="yellow"/>
        </w:rPr>
        <w:t xml:space="preserve">Separately, Section 4.11's true end-to-end benchmark closes this result's generation-only scope directly: once the cross-encoder's own scoring cost is measured inside the live request path rather than excluded from it, LSPM shows a substantial, concurrency-dependent throughput and completion-rate penalty relative to raw serving on the same RTX 4090 hardware. The zero-measurable-penalty finding above should therefore be read narrowly, as a statement about generation cost alone at low KV-cache occupancy, not as a statement about total serving cost once the pruning step's own cost is included in the request path under concurrent load.</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highlight w:val="yellow"/>
        </w:rPr>
        <w:t xml:space="preserve">Section 4.12 reports the matched fixed-ratio comparison this ablation calls for: under the same constrained cache pool, a fixed ratio set to the dynamic controller's own realized mean produces a mixed result on serving latency relative to the dynamic controller (lower mean TTFT and total latency for dynamic, lower p95 TTFT and more completed requests for matched_fixed), with no answer-quality data collected for either arm. Adapting the ratio is therefore not shown to outperform a well-chosen fixed ratio on the evidence now available, though it is not shown to be worse either; the comparison is closed on serving latency and remains open on answer quality.</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w:t>
      </w:r>
      <w:r>
        <w:rPr>
          <w:highlight w:val="yellow"/>
        </w:rPr>
        <w:t xml:space="preserve">A true end-to-end benchmark that includes the pruning step's own cost inside the live request path (Section 4.11) shows this generation-only result does not extend to concurrent-load online serving, where LSPM's throughput and completion rate degrade substantially as concurrency rises; and a matched controller-versus-fixed-ratio comparison under memory pressure (Section 4.12) finds a mixed serving-latency result with no answer-quality data, so neither open item is resolved in LSPM's favor. </w:t>
      </w:r>
      <w:r>
        <w:rPr/>
        <w:t xml:space="preserve">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was left open at that point. </w:t>
      </w:r>
      <w:r>
        <w:rPr>
          <w:highlight w:val="yellow"/>
        </w:rPr>
        <w:t xml:space="preserve">A follow-up comparison against a fixed ratio matched to the controller's own realized mean, run under the same cache pressure (Section 4.12), has since closed that question with a mixed result: the dynamic controller has lower mean TTFT and total latency, but a worse p95 TTFT and fewer completed requests than the matched fixed ratio, and no answer-quality data were collected for either arm, so adapting the ratio is not shown to be an improvement over a well-chosen fixed one. A separate true end-to-end online benchmark (Section 4.11), which scores and prunes context inside the live request path rather than reading it from a precomputed lookup, further finds that LSPM's throughput and completion rate degrade substantially relative to raw serving as concurrency rises, in contrast to the generation-only zero-measurable-penalty result reported above. </w:t>
      </w:r>
      <w:r>
        <w:rPr/>
        <w:t xml:space="preserve">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every ratio tested, most convincingly at r = 0.3 and 0.5 (largest gap +0.211 at r = 0.3), with the r = 0.7 gap the weakest of the three and its bootstrap interval and rank-based test disagreeing at the margin (Section 4.8).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controller ablation, true end-to-end online serving benchmark (Section 4.11), and controller-versus-matched-fixed-ratio comparison (Section 4.12) were run on rented single-GPU cloud instances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For the true end-to-end online serving benchmark of Section 4.11, the per-cell summary statistics for all three ratios tested are released as results/online_e2e_r03/summary.csv, results/online_e2e_r05/summary.csv, and results/online_e2e_r07/summary.csv, alongside the harness that produced them (benchmark/run_online_e2e_benchmark.py). For the controller-versus-matched-fixed-ratio comparison of Section 4.12, the full per-request logs of both conditions are released as results/controller_vs_matched/dynamic_log.jsonl (5,637 requests) and results/controller_vs_matched/matched_fixed_log.jsonl (6,299 requests), each row recording the condition, ratio in effect, KV-cache occupancy at request time, TTFT, and total latency, alongside the harness that produced them (scripts/run_controller_vs_matched_fixed.py); this run used the harness's --skip-quality flag, so no answer-quality logs accompany it.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10.5281/zenodo.22846964;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