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 xml:space="preserve">Retrieval-Augmented Generation (RAG) for Modern Standard Arabic (MSA) faces a memory bottleneck: Arabic's rich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at a fixed or dynamic ratio. On 30 verified Arabic/English sentence pairs, two tokenizers confirm Arabic requires 1.72-1.79x as many tokens as English for equivalent content (bootstrap p &lt; 0.0001). On 140 real Arabic reading-comprehension questions </w:t>
      </w:r>
      <w:r>
        <w:rPr>
          <w:highlight w:val="yellow"/>
        </w:rPr>
        <w:t xml:space="preserve">retrieved into a controlled six-document candidate pool (one guaranteed gold passage plus five distractors; Section 3.4), </w:t>
      </w:r>
      <w:r>
        <w:rPr/>
        <w:t xml:space="preserve">LSPM significantly outperforms naive sentence-count-matched truncation on token-F1 at the most aggressive ratio tested (F1 0.652 vs. 0.537, Holm-adjusted p = 0.0067), remaining equivalent to the unpruned answer. This advantage holds under a token-budget-matched rerun (+0.140 F1, p = 0.0003), against LLMLingua-2, a modern learned compressor (largest gap +0.211 F1, p &lt; 0.0001), and on an independent replication using 140 freshly sampled, non-overlapping questions (Holm-adjusted p &lt; 0.0001). A repeated GPU benchmark, </w:t>
      </w:r>
      <w:r>
        <w:rPr>
          <w:highlight w:val="yellow"/>
        </w:rPr>
        <w:t xml:space="preserve">scoped to generation over an already-pruned context and excluding the pruning step's own ~506 ms cross-encoder scoring cost (quantified separately in Section 3.1), </w:t>
      </w:r>
      <w:r>
        <w:rPr/>
        <w:t xml:space="preserve">finds no measurable throughput or latency penalty versus unpruned serving, though this benchmark's KV-cache occupancy never approached saturation; a separate, higher-pressure ablation drives occupancy to 99.2% and confirms the dynamic controller adapts, but not yet that adapting outperforms a matched fixed ratio, so the memory-efficiency claim remains analytical. </w:t>
      </w:r>
      <w:r>
        <w:rPr>
          <w:highlight w:val="yellow"/>
        </w:rPr>
        <w:t xml:space="preserve">A true end-to-end online benchmark, scoring and pruning context inside the live request path instead of reading it from a precomputed context, finds a substantial, concurrency-dependent throughput and completion-rate penalty for LSPM relative to unpruned serving, and a matching controller-versus-matched-fixed-ratio comparison under memory pressure is a mixed result on serving latency with no answer-quality data collected. </w:t>
      </w:r>
      <w:r>
        <w:rPr/>
        <w:t xml:space="preserve">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highlight w:val="yellow"/>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highlight w:val="yellow"/>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the 8.5-11.9% throughput deficit reported for LSPM by the earlier, confounded exploratory run does not survive removal of the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Both open items identified here have since been closed with new measurements, reported in Sections 4.11 and 4.12: a live, concurrent-load benchmark that scores and prunes context inside the online request path rather than reading it from a precomputed lookup, and a controller-versus-matched-fixed-ratio comparison run under the same constrained-cache-pool pressure as the redesigned ablation. Neither result is favorable enough to report as an unqualified improvement: the true end-to-end benchmark finds a substantial, concurrency-dependent throughput and completion-rate penalty relative to raw serving once the pruning step's own cost is included in the request path, and the controller comparison is a mixed result on serving latency with no answer-quality data collected.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w:t>
      </w:r>
      <w:r>
        <w:rPr>
          <w:highlight w:val="yellow"/>
        </w:rPr>
        <w:t xml:space="preserve">This controller is a working engineering mechanism, not yet a validated improvement: a redesigned ablation confirms it engages its full adaptive range under real cache pressure, and a further like-for-like comparison against a matched fixed ratio under the same pressure (Section 4.12) finds a mixed result on serving latency with no answer-quality data collected, so adapting the ratio is not shown to outperform a well-chosen fixed one. </w:t>
      </w:r>
      <w:r>
        <w:rPr/>
        <w:t xml:space="preserve">(2)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w:t>
      </w:r>
      <w:r>
        <w:rPr>
          <w:highlight w:val="yellow"/>
        </w:rPr>
        <w:t xml:space="preserve">A further true end-to-end online benchmark (Section 4.11), scoring and pruning context inside the live request path rather than from a precomputed lookup, closes this paper's most important remaining open item by measuring a substantial, concurrency-dependent throughput and completion-rate penalty for LSPM relative to raw serving, in contrast to the generation-only benchmark's zero-measurable-penalty finding. </w:t>
      </w:r>
      <w:r>
        <w:rPr/>
        <w:t xml:space="preserve">(6)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every ratio after correction, most convincingly at r = 0.3 and 0.5, with the r = 0.7 gap the weakest of the three (its bootstrap interval and rank-based test disagree at the margin; Section 4.8).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(Sections 4.1-4.7), followed by three further validation studies (Sections 4.8-4.10) and two studies run specifically in response to peer review, a true end-to-end online serving benchmark and a controller-versus-matched-fixed-ratio comparison (Sections 4.11-4.12).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highlight w:val="yellow"/>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every ratio tested, most convincingly at r = 0.3 and 0.5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highlight w:val="yellow"/>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highlight w:val="yellow"/>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at this paper's full scale; a targeted 20-question check against that second backend is reported in Section 5, item (4b), so backend-to-backend variance is measured on a small subset rather than not measured at all, and should not be assumed to be small beyond that subset. This scoring step has a measured mean latency of 506.1 ms, single-request and CPU-only, over the same six-document candidate pool used in this paper's main baseline comparison (420 real measurements, Section 4.3); Section 4.11 reports the GPU-accelerated figure this same step produces when it runs on the same GPU as the vLLM server, inside a live concurrent-load benchmark. Every throughput/latency comparison in this paper that is described as "generation-only" (Sections 4.6, 5, and 6) reads contexts from a precomputed lookup and therefore measures the vLLM server's generation cost alone, excluding this 506.1 ms CPU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highlight w:val="yellow"/>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highlight w:val="yellow"/>
        </w:rPr>
        <w:t xml:space="preserve">Worked example. </w:t>
      </w:r>
      <w:r>
        <w:rPr>
          <w:highlight w:val="yellow"/>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highlight w:val="yellow"/>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Pr>
                <w:highlight w:val="yellow"/>
              </w:rPr>
            </w:r>
            <w:r>
              <w:rPr>
                <w:rFonts w:ascii="Courier New" w:hAnsi="Courier New"/>
                <w:sz w:val="18"/>
                <w:highlight w:val="yellow"/>
              </w:rPr>
              <w:t>Sentence  Score  Kept@r=0.3  Kept@r=0.5  Kept@r=0.7   Content (English gloss)</w:t>
            </w:r>
          </w:p>
          <w:p>
            <w:pPr>
              <w:spacing w:before="0" w:after="0"/>
              <w:bidi w:val="0"/>
            </w:pPr>
            <w:r>
              <w:rPr>
                <w:rFonts w:ascii="Courier New" w:hAnsi="Courier New"/>
                <w:sz w:val="18"/>
                <w:highlight w:val="yellow"/>
              </w:rPr>
              <w:t xml:space="preserve">                  (k=1)       (k=2)       (k=3)</w:t>
            </w:r>
          </w:p>
          <w:p>
            <w:pPr>
              <w:spacing w:before="0" w:after="0"/>
              <w:bidi w:val="0"/>
            </w:pPr>
            <w:r>
              <w:rPr>
                <w:rFonts w:ascii="Courier New" w:hAnsi="Courier New"/>
                <w:sz w:val="18"/>
                <w:highlight w:val="yellow"/>
              </w:rPr>
              <w:t>S1        0.65    --          yes         yes    "Baghdad is Iraq's capital, located on</w:t>
            </w:r>
          </w:p>
          <w:p>
            <w:pPr>
              <w:spacing w:before="0" w:after="0"/>
              <w:bidi w:val="0"/>
            </w:pPr>
            <w:r>
              <w:rPr>
                <w:rFonts w:ascii="Courier New" w:hAnsi="Courier New"/>
                <w:sz w:val="18"/>
                <w:highlight w:val="yellow"/>
              </w:rPr>
              <w:t xml:space="preserve">                                                   the banks of the Tigris River."</w:t>
            </w:r>
          </w:p>
          <w:p>
            <w:pPr>
              <w:spacing w:before="0" w:after="0"/>
              <w:bidi w:val="0"/>
            </w:pPr>
            <w:r>
              <w:rPr>
                <w:rFonts w:ascii="Courier New" w:hAnsi="Courier New"/>
                <w:sz w:val="18"/>
                <w:highlight w:val="yellow"/>
              </w:rPr>
              <w:t>S2        0.20    --          --          yes    "Baghdad's population exceeds seven</w:t>
            </w:r>
          </w:p>
          <w:p>
            <w:pPr>
              <w:spacing w:before="0" w:after="0"/>
              <w:bidi w:val="0"/>
            </w:pPr>
            <w:r>
              <w:rPr>
                <w:rFonts w:ascii="Courier New" w:hAnsi="Courier New"/>
                <w:sz w:val="18"/>
                <w:highlight w:val="yellow"/>
              </w:rPr>
              <w:t xml:space="preserve">                                                   million."</w:t>
            </w:r>
          </w:p>
          <w:p>
            <w:pPr>
              <w:spacing w:before="0" w:after="0"/>
              <w:bidi w:val="0"/>
            </w:pPr>
            <w:r>
              <w:rPr>
                <w:rFonts w:ascii="Courier New" w:hAnsi="Courier New"/>
                <w:sz w:val="18"/>
                <w:highlight w:val="yellow"/>
              </w:rPr>
              <w:t>S3        0.93    yes         yes         yes    "...founded in 1957, becoming one of</w:t>
            </w:r>
          </w:p>
          <w:p>
            <w:pPr>
              <w:spacing w:before="0" w:after="0"/>
              <w:bidi w:val="0"/>
            </w:pPr>
            <w:r>
              <w:rPr>
                <w:rFonts w:ascii="Courier New" w:hAnsi="Courier New"/>
                <w:sz w:val="18"/>
                <w:highlight w:val="yellow"/>
              </w:rPr>
              <w:t xml:space="preserve">                                                   the most prominent Iraqi universities."</w:t>
            </w:r>
          </w:p>
          <w:p>
            <w:pPr>
              <w:spacing w:before="0" w:after="0"/>
              <w:bidi w:val="0"/>
            </w:pPr>
            <w:r>
              <w:rPr>
                <w:rFonts w:ascii="Courier New" w:hAnsi="Courier New"/>
                <w:sz w:val="18"/>
                <w:highlight w:val="yellow"/>
              </w:rPr>
              <w:t>S4        0.08    --          --          --     "The university includes several</w:t>
            </w:r>
          </w:p>
          <w:p>
            <w:pPr>
              <w:spacing w:before="0" w:after="0"/>
              <w:bidi w:val="0"/>
            </w:pPr>
            <w:r>
              <w:rPr>
                <w:rFonts w:ascii="Courier New" w:hAnsi="Courier New"/>
                <w:sz w:val="18"/>
                <w:highlight w:val="yellow"/>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Two remedies close this gap, one analytical and one experimental: Section 4.3 reports the actual prompt tokens each method spent, computed offline from the released artifacts, which is a partial, descriptive fix (it shows what token budget the existing sentence-matched runs happened to use, without rerunning anything); Section 3.5.4 describes the fuller, experimental fix, a rerun in which naive truncation is given LSPM's own realized token budget directly rather than merely having it reported after the fact, with the result in Section 4.8.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(48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4.5-4.12)</w:t>
      </w:r>
    </w:p>
    <w:p>
      <w:pPr>
        <w:pStyle w:val="MDPI31text"/>
        <w:rPr/>
      </w:pPr>
      <w:r>
        <w:rPr/>
        <w:t xml:space="preserve">Beyond the core ARCD re-test above, this paper reports eight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(48 GiB).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48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31text"/>
        <w:rPr/>
      </w:pPr>
      <w:r>
        <w:rPr>
          <w:b/>
          <w:highlight w:val="yellow"/>
        </w:rPr>
        <w:t xml:space="preserve">3.5.7. True end-to-end online serving benchmark protocol (results in Section 4.11). </w:t>
      </w:r>
      <w:r>
        <w:rPr>
          <w:highlight w:val="yellow"/>
        </w:rPr>
        <w:t xml:space="preserve">Section 4.6's GPU benchmark and every "generation-only" comparison in this paper (Sections 4.6, 5, and 6) read a precomputed, already-pruned context from a lookup table before generation, so none of them include the cross-encoder scoring cost quantified separately in Section 3.1. To close this gap, we ran a new script (benchmark/run_online_e2e_benchmark.py) against a live, self-hosted vLLM server (a single rented RTX 4090 with 48 GiB of VRAM; Section 4.11 reports the full hardware disclosure) that performs retrieval, cross-encoder scoring, and pruning inside the request path itself, immediately before each generation call, rather than reading an already-pruned context from a lookup. Three context conditions were tested: raw (unpruned), LSPM at a fixed ratio, and naive length-matched truncation at the same ratio, crossed with four concurrency levels (1, 5, 10, and 20 concurrent requests) and three compression ratios (r = 0.3, 0.5, 0.7), for 60 requests per (condition, concurrency, ratio) cell. For every cell we recorded the pruning step's own latency separately from time-to-first-token (TTFT), total request latency, and achieved throughput (requests/s and tokens/s), so the cost of scoring and pruning inside the live request path is visible rather than hidden inside a generation-only figure.</w:t>
      </w:r>
    </w:p>
    <w:p>
      <w:pPr>
        <w:pStyle w:val="MDPI31text"/>
        <w:rPr/>
      </w:pPr>
      <w:r>
        <w:rPr>
          <w:b/>
          <w:highlight w:val="yellow"/>
        </w:rPr>
        <w:t xml:space="preserve">3.5.8. Controller-versus-matched-fixed-ratio comparison protocol (results in Section 4.12). </w:t>
      </w:r>
      <w:r>
        <w:rPr>
          <w:highlight w:val="yellow"/>
        </w:rPr>
        <w:t xml:space="preserve">Section 4.7's redesigned ablation established that the dynamic ratio controller's adaptive path engages under real cache pressure (occupancy reaching 99.2%) but, because the dynamic and fixed arms were not matched on average compression ratio, could not show whether adapting the ratio outperforms a fixed one. To close that comparison directly, we ran a new script (scripts/run_controller_vs_matched_fixed.py) under the same --gpu-memory-utilization 0.3 constrained cache pool as the redesigned ablation of Section 4.7, running two conditions back to back on the same RTX 4090 48 GiB card: "dynamic", in which the controller adjusts its ratio in response to live KV-cache occupancy exactly as in Section 4.7, and "matched_fixed", in which the ratio is held constant at the dynamic condition's own realized mean ratio for the run, so the two arms retain the same average compression ratio (a proxy for, but not identical to, an average retained-token match; Section 4.12). For every request in both conditions we logged the ratio in effect, the KV-cache occupancy at request time, TTFT, and total latency; the run was executed with the script's --skip-quality flag, so this comparison covers serving latency only and does not include an answer-quality comparison between the two conditions.</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highlight w:val="yellow"/>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the 8.5-11.9% throughput deficit that the earlier, confounded exploratory run had attributed to LSPM does not survive removal of the load-generator scoring cost, which is consistent with that deficit having been an artifact of the confound rather than a property of the method.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(48 GiB).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it is superseded by the redesigned run below and its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proposed here was a fixed-r = 0.8 comparison, matching the dynamic condition's typical high-pressure operating ratio in this run. What has since been run (Section 4.12) instead matches the dynamic controller's own realized mean ratio over a fresh execution of the same load profile (0.565, not 0.8, since that fresh run's mean blends the low-pressure steps as well as the high-pressure ones); it finds a mixed result on serving latency between the two arms, with no answer-quality data collected, so this comparison is now closed on serving latency and remains open on answer quality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2heading2"/>
        <w:spacing w:before="240" w:after="60"/>
        <w:rPr/>
      </w:pPr>
      <w:r>
        <w:rPr/>
        <w:t xml:space="preserve">4.11. True End-to-End Online Serving Benchmark</w:t>
      </w:r>
    </w:p>
    <w:p>
      <w:pPr>
        <w:pStyle w:val="MDPI31text"/>
        <w:rPr/>
      </w:pPr>
      <w:r>
        <w:rPr>
          <w:highlight w:val="yellow"/>
        </w:rPr>
        <w:t xml:space="preserve">Under the protocol of Section 3.5.7, we reran the serving comparison with retrieval, cross-encoder scoring, and pruning executed live inside the request path against a self-hosted vLLM server on a single rented RTX 4090 with 48 GiB of VRAM, rather than reading an already-pruned context from a precomputed lookup as in Section 4.6. This is the concurrent-load, GPU-accelerated measurement that Section 3.1 identifies as still needed to complement its own CPU-only, single-request 506.1 ms figure, and it changes the picture: the pruning step's own latency running on GPU is far lower than on CPU (mean 34.3 ms at concurrency 1, averaged across r = 0.3/0.5/0.7, versus 506.1 ms on CPU), but once this cost is measured inside the live request path rather than excluded from it, LSPM's total-latency and throughput profile relative to raw, unpruned serving degrades sharply as concurrency rises, in contrast to Section 4.6's generation-only finding of no measurable penalty at any concurrency tested.</w:t>
      </w:r>
    </w:p>
    <w:p>
      <w:pPr>
        <w:pStyle w:val="MDPI41tablecaption"/>
        <w:rPr/>
      </w:pPr>
      <w:r>
        <w:rPr>
          <w:b/>
        </w:rPr>
        <w:t xml:space="preserve">Table 9. True end-to-end online serving benchmark at r = 0.5, four concurrency levels, 60 requests per (condition, concurrency) cell, each cell run once (protocol in Section 3.5.7). N is the count of requests that received a complete streamed response, out of 60 attempted; the remainder either received an HTTP error or exceeded the script's 120-second per-request timeout, most often the latter under load. Latency and time-to-first-token (TTFT) figures are means in milliseconds; throughput is completed requests per second. Ratios r = 0.3 and r = 0.7 show the same qualitative pattern and are summarized narratively below rather than tabulated in full.</w:t>
      </w:r>
    </w:p>
    <w:tbl>
      <w:tblPr>
        <w:tblW w:type="auto" w:w="0"/>
        <w:tblLook w:firstColumn="1" w:firstRow="1" w:lastColumn="0" w:lastRow="0" w:noHBand="0" w:noVBand="1" w:val="04A0"/>
        <w:bidiVisual w:val="0"/>
      </w:tblPr>
      <w:tblGrid>
        <w:gridCol w:w="1495"/>
        <w:gridCol w:w="1495"/>
        <w:gridCol w:w="1495"/>
        <w:gridCol w:w="1495"/>
        <w:gridCol w:w="1495"/>
        <w:gridCol w:w="1495"/>
        <w:gridCol w:w="1495"/>
      </w:tblGrid>
      <w:tr>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Conc.</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N/60</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Pruning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TTFT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Total lat.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Throughput req/s</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38.8</w:t>
            </w:r>
          </w:p>
        </w:tc>
        <w:tc>
          <w:tcPr>
            <w:tcW w:type="dxa" w:w="1495"/>
          </w:tcPr>
          <w:p>
            <w:pPr>
              <w:pStyle w:val="MDPI42tablebody"/>
              <w:bidi w:val="0"/>
            </w:pPr>
            <w:r>
              <w:rPr>
                <w:highlight w:val="yellow"/>
              </w:rPr>
            </w:r>
            <w:r>
              <w:rPr>
                <w:sz w:val="20"/>
                <w:highlight w:val="yellow"/>
              </w:rPr>
              <w:t>381.8</w:t>
            </w:r>
          </w:p>
        </w:tc>
        <w:tc>
          <w:tcPr>
            <w:tcW w:type="dxa" w:w="1495"/>
          </w:tcPr>
          <w:p>
            <w:pPr>
              <w:pStyle w:val="MDPI42tablebody"/>
              <w:bidi w:val="0"/>
            </w:pPr>
            <w:r>
              <w:rPr>
                <w:highlight w:val="yellow"/>
              </w:rPr>
            </w:r>
            <w:r>
              <w:rPr>
                <w:sz w:val="20"/>
                <w:highlight w:val="yellow"/>
              </w:rPr>
              <w:t>2.62</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54.0</w:t>
            </w:r>
          </w:p>
        </w:tc>
        <w:tc>
          <w:tcPr>
            <w:tcW w:type="dxa" w:w="1495"/>
          </w:tcPr>
          <w:p>
            <w:pPr>
              <w:pStyle w:val="MDPI42tablebody"/>
              <w:bidi w:val="0"/>
            </w:pPr>
            <w:r>
              <w:rPr>
                <w:highlight w:val="yellow"/>
              </w:rPr>
            </w:r>
            <w:r>
              <w:rPr>
                <w:sz w:val="20"/>
                <w:highlight w:val="yellow"/>
              </w:rPr>
              <w:t>436.2</w:t>
            </w:r>
          </w:p>
        </w:tc>
        <w:tc>
          <w:tcPr>
            <w:tcW w:type="dxa" w:w="1495"/>
          </w:tcPr>
          <w:p>
            <w:pPr>
              <w:pStyle w:val="MDPI42tablebody"/>
              <w:bidi w:val="0"/>
            </w:pPr>
            <w:r>
              <w:rPr>
                <w:highlight w:val="yellow"/>
              </w:rPr>
            </w:r>
            <w:r>
              <w:rPr>
                <w:sz w:val="20"/>
                <w:highlight w:val="yellow"/>
              </w:rPr>
              <w:t>11.23</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64.8</w:t>
            </w:r>
          </w:p>
        </w:tc>
        <w:tc>
          <w:tcPr>
            <w:tcW w:type="dxa" w:w="1495"/>
          </w:tcPr>
          <w:p>
            <w:pPr>
              <w:pStyle w:val="MDPI42tablebody"/>
              <w:bidi w:val="0"/>
            </w:pPr>
            <w:r>
              <w:rPr>
                <w:highlight w:val="yellow"/>
              </w:rPr>
            </w:r>
            <w:r>
              <w:rPr>
                <w:sz w:val="20"/>
                <w:highlight w:val="yellow"/>
              </w:rPr>
              <w:t>399.6</w:t>
            </w:r>
          </w:p>
        </w:tc>
        <w:tc>
          <w:tcPr>
            <w:tcW w:type="dxa" w:w="1495"/>
          </w:tcPr>
          <w:p>
            <w:pPr>
              <w:pStyle w:val="MDPI42tablebody"/>
              <w:bidi w:val="0"/>
            </w:pPr>
            <w:r>
              <w:rPr>
                <w:highlight w:val="yellow"/>
              </w:rPr>
            </w:r>
            <w:r>
              <w:rPr>
                <w:sz w:val="20"/>
                <w:highlight w:val="yellow"/>
              </w:rPr>
              <w:t>22.85</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102.6</w:t>
            </w:r>
          </w:p>
        </w:tc>
        <w:tc>
          <w:tcPr>
            <w:tcW w:type="dxa" w:w="1495"/>
          </w:tcPr>
          <w:p>
            <w:pPr>
              <w:pStyle w:val="MDPI42tablebody"/>
              <w:bidi w:val="0"/>
            </w:pPr>
            <w:r>
              <w:rPr>
                <w:highlight w:val="yellow"/>
              </w:rPr>
            </w:r>
            <w:r>
              <w:rPr>
                <w:sz w:val="20"/>
                <w:highlight w:val="yellow"/>
              </w:rPr>
              <w:t>516.2</w:t>
            </w:r>
          </w:p>
        </w:tc>
        <w:tc>
          <w:tcPr>
            <w:tcW w:type="dxa" w:w="1495"/>
          </w:tcPr>
          <w:p>
            <w:pPr>
              <w:pStyle w:val="MDPI42tablebody"/>
              <w:bidi w:val="0"/>
            </w:pPr>
            <w:r>
              <w:rPr>
                <w:highlight w:val="yellow"/>
              </w:rPr>
            </w:r>
            <w:r>
              <w:rPr>
                <w:sz w:val="20"/>
                <w:highlight w:val="yellow"/>
              </w:rPr>
              <w:t>35.20</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33.3</w:t>
            </w:r>
          </w:p>
        </w:tc>
        <w:tc>
          <w:tcPr>
            <w:tcW w:type="dxa" w:w="1495"/>
          </w:tcPr>
          <w:p>
            <w:pPr>
              <w:pStyle w:val="MDPI42tablebody"/>
              <w:bidi w:val="0"/>
            </w:pPr>
            <w:r>
              <w:rPr>
                <w:highlight w:val="yellow"/>
              </w:rPr>
            </w:r>
            <w:r>
              <w:rPr>
                <w:sz w:val="20"/>
                <w:highlight w:val="yellow"/>
              </w:rPr>
              <w:t>65.7</w:t>
            </w:r>
          </w:p>
        </w:tc>
        <w:tc>
          <w:tcPr>
            <w:tcW w:type="dxa" w:w="1495"/>
          </w:tcPr>
          <w:p>
            <w:pPr>
              <w:pStyle w:val="MDPI42tablebody"/>
              <w:bidi w:val="0"/>
            </w:pPr>
            <w:r>
              <w:rPr>
                <w:highlight w:val="yellow"/>
              </w:rPr>
            </w:r>
            <w:r>
              <w:rPr>
                <w:sz w:val="20"/>
                <w:highlight w:val="yellow"/>
              </w:rPr>
              <w:t>409.1</w:t>
            </w:r>
          </w:p>
        </w:tc>
        <w:tc>
          <w:tcPr>
            <w:tcW w:type="dxa" w:w="1495"/>
          </w:tcPr>
          <w:p>
            <w:pPr>
              <w:pStyle w:val="MDPI42tablebody"/>
              <w:bidi w:val="0"/>
            </w:pPr>
            <w:r>
              <w:rPr>
                <w:highlight w:val="yellow"/>
              </w:rPr>
            </w:r>
            <w:r>
              <w:rPr>
                <w:sz w:val="20"/>
                <w:highlight w:val="yellow"/>
              </w:rPr>
              <w:t>2.44</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69.9</w:t>
            </w:r>
          </w:p>
        </w:tc>
        <w:tc>
          <w:tcPr>
            <w:tcW w:type="dxa" w:w="1495"/>
          </w:tcPr>
          <w:p>
            <w:pPr>
              <w:pStyle w:val="MDPI42tablebody"/>
              <w:bidi w:val="0"/>
            </w:pPr>
            <w:r>
              <w:rPr>
                <w:highlight w:val="yellow"/>
              </w:rPr>
            </w:r>
            <w:r>
              <w:rPr>
                <w:sz w:val="20"/>
                <w:highlight w:val="yellow"/>
              </w:rPr>
              <w:t>125.1</w:t>
            </w:r>
          </w:p>
        </w:tc>
        <w:tc>
          <w:tcPr>
            <w:tcW w:type="dxa" w:w="1495"/>
          </w:tcPr>
          <w:p>
            <w:pPr>
              <w:pStyle w:val="MDPI42tablebody"/>
              <w:bidi w:val="0"/>
            </w:pPr>
            <w:r>
              <w:rPr>
                <w:highlight w:val="yellow"/>
              </w:rPr>
            </w:r>
            <w:r>
              <w:rPr>
                <w:sz w:val="20"/>
                <w:highlight w:val="yellow"/>
              </w:rPr>
              <w:t>534.6</w:t>
            </w:r>
          </w:p>
        </w:tc>
        <w:tc>
          <w:tcPr>
            <w:tcW w:type="dxa" w:w="1495"/>
          </w:tcPr>
          <w:p>
            <w:pPr>
              <w:pStyle w:val="MDPI42tablebody"/>
              <w:bidi w:val="0"/>
            </w:pPr>
            <w:r>
              <w:rPr>
                <w:highlight w:val="yellow"/>
              </w:rPr>
            </w:r>
            <w:r>
              <w:rPr>
                <w:sz w:val="20"/>
                <w:highlight w:val="yellow"/>
              </w:rPr>
              <w:t>8.89</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54</w:t>
            </w:r>
          </w:p>
        </w:tc>
        <w:tc>
          <w:tcPr>
            <w:tcW w:type="dxa" w:w="1495"/>
          </w:tcPr>
          <w:p>
            <w:pPr>
              <w:pStyle w:val="MDPI42tablebody"/>
              <w:bidi w:val="0"/>
            </w:pPr>
            <w:r>
              <w:rPr>
                <w:highlight w:val="yellow"/>
              </w:rPr>
            </w:r>
            <w:r>
              <w:rPr>
                <w:sz w:val="20"/>
                <w:highlight w:val="yellow"/>
              </w:rPr>
              <w:t>191.3</w:t>
            </w:r>
          </w:p>
        </w:tc>
        <w:tc>
          <w:tcPr>
            <w:tcW w:type="dxa" w:w="1495"/>
          </w:tcPr>
          <w:p>
            <w:pPr>
              <w:pStyle w:val="MDPI42tablebody"/>
              <w:bidi w:val="0"/>
            </w:pPr>
            <w:r>
              <w:rPr>
                <w:highlight w:val="yellow"/>
              </w:rPr>
            </w:r>
            <w:r>
              <w:rPr>
                <w:sz w:val="20"/>
                <w:highlight w:val="yellow"/>
              </w:rPr>
              <w:t>248.5</w:t>
            </w:r>
          </w:p>
        </w:tc>
        <w:tc>
          <w:tcPr>
            <w:tcW w:type="dxa" w:w="1495"/>
          </w:tcPr>
          <w:p>
            <w:pPr>
              <w:pStyle w:val="MDPI42tablebody"/>
              <w:bidi w:val="0"/>
            </w:pPr>
            <w:r>
              <w:rPr>
                <w:highlight w:val="yellow"/>
              </w:rPr>
            </w:r>
            <w:r>
              <w:rPr>
                <w:sz w:val="20"/>
                <w:highlight w:val="yellow"/>
              </w:rPr>
              <w:t>612.8</w:t>
            </w:r>
          </w:p>
        </w:tc>
        <w:tc>
          <w:tcPr>
            <w:tcW w:type="dxa" w:w="1495"/>
          </w:tcPr>
          <w:p>
            <w:pPr>
              <w:pStyle w:val="MDPI42tablebody"/>
              <w:bidi w:val="0"/>
            </w:pPr>
            <w:r>
              <w:rPr>
                <w:highlight w:val="yellow"/>
              </w:rPr>
            </w:r>
            <w:r>
              <w:rPr>
                <w:sz w:val="20"/>
                <w:highlight w:val="yellow"/>
              </w:rPr>
              <w:t>13.53</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27</w:t>
            </w:r>
          </w:p>
        </w:tc>
        <w:tc>
          <w:tcPr>
            <w:tcW w:type="dxa" w:w="1495"/>
          </w:tcPr>
          <w:p>
            <w:pPr>
              <w:pStyle w:val="MDPI42tablebody"/>
              <w:bidi w:val="0"/>
            </w:pPr>
            <w:r>
              <w:rPr>
                <w:highlight w:val="yellow"/>
              </w:rPr>
            </w:r>
            <w:r>
              <w:rPr>
                <w:sz w:val="20"/>
                <w:highlight w:val="yellow"/>
              </w:rPr>
              <w:t>375.4</w:t>
            </w:r>
          </w:p>
        </w:tc>
        <w:tc>
          <w:tcPr>
            <w:tcW w:type="dxa" w:w="1495"/>
          </w:tcPr>
          <w:p>
            <w:pPr>
              <w:pStyle w:val="MDPI42tablebody"/>
              <w:bidi w:val="0"/>
            </w:pPr>
            <w:r>
              <w:rPr>
                <w:highlight w:val="yellow"/>
              </w:rPr>
            </w:r>
            <w:r>
              <w:rPr>
                <w:sz w:val="20"/>
                <w:highlight w:val="yellow"/>
              </w:rPr>
              <w:t>433.5</w:t>
            </w:r>
          </w:p>
        </w:tc>
        <w:tc>
          <w:tcPr>
            <w:tcW w:type="dxa" w:w="1495"/>
          </w:tcPr>
          <w:p>
            <w:pPr>
              <w:pStyle w:val="MDPI42tablebody"/>
              <w:bidi w:val="0"/>
            </w:pPr>
            <w:r>
              <w:rPr>
                <w:highlight w:val="yellow"/>
              </w:rPr>
            </w:r>
            <w:r>
              <w:rPr>
                <w:sz w:val="20"/>
                <w:highlight w:val="yellow"/>
              </w:rPr>
              <w:t>838.3</w:t>
            </w:r>
          </w:p>
        </w:tc>
        <w:tc>
          <w:tcPr>
            <w:tcW w:type="dxa" w:w="1495"/>
          </w:tcPr>
          <w:p>
            <w:pPr>
              <w:pStyle w:val="MDPI42tablebody"/>
              <w:bidi w:val="0"/>
            </w:pPr>
            <w:r>
              <w:rPr>
                <w:highlight w:val="yellow"/>
              </w:rPr>
            </w:r>
            <w:r>
              <w:rPr>
                <w:sz w:val="20"/>
                <w:highlight w:val="yellow"/>
              </w:rPr>
              <w:t>10.15</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37.8</w:t>
            </w:r>
          </w:p>
        </w:tc>
        <w:tc>
          <w:tcPr>
            <w:tcW w:type="dxa" w:w="1495"/>
          </w:tcPr>
          <w:p>
            <w:pPr>
              <w:pStyle w:val="MDPI42tablebody"/>
              <w:bidi w:val="0"/>
            </w:pPr>
            <w:r>
              <w:rPr>
                <w:highlight w:val="yellow"/>
              </w:rPr>
            </w:r>
            <w:r>
              <w:rPr>
                <w:sz w:val="20"/>
                <w:highlight w:val="yellow"/>
              </w:rPr>
              <w:t>278.3</w:t>
            </w:r>
          </w:p>
        </w:tc>
        <w:tc>
          <w:tcPr>
            <w:tcW w:type="dxa" w:w="1495"/>
          </w:tcPr>
          <w:p>
            <w:pPr>
              <w:pStyle w:val="MDPI42tablebody"/>
              <w:bidi w:val="0"/>
            </w:pPr>
            <w:r>
              <w:rPr>
                <w:highlight w:val="yellow"/>
              </w:rPr>
            </w:r>
            <w:r>
              <w:rPr>
                <w:sz w:val="20"/>
                <w:highlight w:val="yellow"/>
              </w:rPr>
              <w:t>3.59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53.3</w:t>
            </w:r>
          </w:p>
        </w:tc>
        <w:tc>
          <w:tcPr>
            <w:tcW w:type="dxa" w:w="1495"/>
          </w:tcPr>
          <w:p>
            <w:pPr>
              <w:pStyle w:val="MDPI42tablebody"/>
              <w:bidi w:val="0"/>
            </w:pPr>
            <w:r>
              <w:rPr>
                <w:highlight w:val="yellow"/>
              </w:rPr>
            </w:r>
            <w:r>
              <w:rPr>
                <w:sz w:val="20"/>
                <w:highlight w:val="yellow"/>
              </w:rPr>
              <w:t>309.0</w:t>
            </w:r>
          </w:p>
        </w:tc>
        <w:tc>
          <w:tcPr>
            <w:tcW w:type="dxa" w:w="1495"/>
          </w:tcPr>
          <w:p>
            <w:pPr>
              <w:pStyle w:val="MDPI42tablebody"/>
              <w:bidi w:val="0"/>
            </w:pPr>
            <w:r>
              <w:rPr>
                <w:highlight w:val="yellow"/>
              </w:rPr>
            </w:r>
            <w:r>
              <w:rPr>
                <w:sz w:val="20"/>
                <w:highlight w:val="yellow"/>
              </w:rPr>
              <w:t>14.69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60.3</w:t>
            </w:r>
          </w:p>
        </w:tc>
        <w:tc>
          <w:tcPr>
            <w:tcW w:type="dxa" w:w="1495"/>
          </w:tcPr>
          <w:p>
            <w:pPr>
              <w:pStyle w:val="MDPI42tablebody"/>
              <w:bidi w:val="0"/>
            </w:pPr>
            <w:r>
              <w:rPr>
                <w:highlight w:val="yellow"/>
              </w:rPr>
            </w:r>
            <w:r>
              <w:rPr>
                <w:sz w:val="20"/>
                <w:highlight w:val="yellow"/>
              </w:rPr>
              <w:t>301.2</w:t>
            </w:r>
          </w:p>
        </w:tc>
        <w:tc>
          <w:tcPr>
            <w:tcW w:type="dxa" w:w="1495"/>
          </w:tcPr>
          <w:p>
            <w:pPr>
              <w:pStyle w:val="MDPI42tablebody"/>
              <w:bidi w:val="0"/>
            </w:pPr>
            <w:r>
              <w:rPr>
                <w:highlight w:val="yellow"/>
              </w:rPr>
            </w:r>
            <w:r>
              <w:rPr>
                <w:sz w:val="20"/>
                <w:highlight w:val="yellow"/>
              </w:rPr>
              <w:t>28.91</w:t>
            </w:r>
          </w:p>
        </w:tc>
      </w:tr>
      <w:tr>
        <w:tc>
          <w:tcPr>
            <w:tcW w:type="dxa" w:w="1495"/>
            <w:tcBorders>
              <w:bottom w:val="single" w:sz="8" w:space="0" w:color="000000"/>
            </w:tcBorders>
          </w:tcPr>
          <w:p>
            <w:pPr>
              <w:pStyle w:val="MDPI42tablebody"/>
              <w:bidi w:val="0"/>
            </w:pPr>
            <w:r>
              <w:rPr>
                <w:highlight w:val="yellow"/>
              </w:rPr>
            </w:r>
            <w:r>
              <w:rPr>
                <w:sz w:val="20"/>
                <w:highlight w:val="yellow"/>
              </w:rPr>
              <w:t>naive</w:t>
            </w:r>
          </w:p>
        </w:tc>
        <w:tc>
          <w:tcPr>
            <w:tcW w:type="dxa" w:w="1495"/>
            <w:tcBorders>
              <w:bottom w:val="single" w:sz="8" w:space="0" w:color="000000"/>
            </w:tcBorders>
          </w:tcPr>
          <w:p>
            <w:pPr>
              <w:pStyle w:val="MDPI42tablebody"/>
              <w:bidi w:val="0"/>
            </w:pPr>
            <w:r>
              <w:rPr>
                <w:highlight w:val="yellow"/>
              </w:rPr>
            </w:r>
            <w:r>
              <w:rPr>
                <w:sz w:val="20"/>
                <w:highlight w:val="yellow"/>
              </w:rPr>
              <w:t>20</w:t>
            </w:r>
          </w:p>
        </w:tc>
        <w:tc>
          <w:tcPr>
            <w:tcW w:type="dxa" w:w="1495"/>
            <w:tcBorders>
              <w:bottom w:val="single" w:sz="8" w:space="0" w:color="000000"/>
            </w:tcBorders>
          </w:tcPr>
          <w:p>
            <w:pPr>
              <w:pStyle w:val="MDPI42tablebody"/>
              <w:bidi w:val="0"/>
            </w:pPr>
            <w:r>
              <w:rPr>
                <w:highlight w:val="yellow"/>
              </w:rPr>
            </w:r>
            <w:r>
              <w:rPr>
                <w:sz w:val="20"/>
                <w:highlight w:val="yellow"/>
              </w:rPr>
              <w:t>60</w:t>
            </w:r>
          </w:p>
        </w:tc>
        <w:tc>
          <w:tcPr>
            <w:tcW w:type="dxa" w:w="1495"/>
            <w:tcBorders>
              <w:bottom w:val="single" w:sz="8" w:space="0" w:color="000000"/>
            </w:tcBorders>
          </w:tcPr>
          <w:p>
            <w:pPr>
              <w:pStyle w:val="MDPI42tablebody"/>
              <w:bidi w:val="0"/>
            </w:pPr>
            <w:r>
              <w:rPr>
                <w:highlight w:val="yellow"/>
              </w:rPr>
            </w:r>
            <w:r>
              <w:rPr>
                <w:sz w:val="20"/>
                <w:highlight w:val="yellow"/>
              </w:rPr>
              <w:t>0.2</w:t>
            </w:r>
          </w:p>
        </w:tc>
        <w:tc>
          <w:tcPr>
            <w:tcW w:type="dxa" w:w="1495"/>
            <w:tcBorders>
              <w:bottom w:val="single" w:sz="8" w:space="0" w:color="000000"/>
            </w:tcBorders>
          </w:tcPr>
          <w:p>
            <w:pPr>
              <w:pStyle w:val="MDPI42tablebody"/>
              <w:bidi w:val="0"/>
            </w:pPr>
            <w:r>
              <w:rPr>
                <w:highlight w:val="yellow"/>
              </w:rPr>
            </w:r>
            <w:r>
              <w:rPr>
                <w:sz w:val="20"/>
                <w:highlight w:val="yellow"/>
              </w:rPr>
              <w:t>81.1</w:t>
            </w:r>
          </w:p>
        </w:tc>
        <w:tc>
          <w:tcPr>
            <w:tcW w:type="dxa" w:w="1495"/>
            <w:tcBorders>
              <w:bottom w:val="single" w:sz="8" w:space="0" w:color="000000"/>
            </w:tcBorders>
          </w:tcPr>
          <w:p>
            <w:pPr>
              <w:pStyle w:val="MDPI42tablebody"/>
              <w:bidi w:val="0"/>
            </w:pPr>
            <w:r>
              <w:rPr>
                <w:highlight w:val="yellow"/>
              </w:rPr>
            </w:r>
            <w:r>
              <w:rPr>
                <w:sz w:val="20"/>
                <w:highlight w:val="yellow"/>
              </w:rPr>
              <w:t>347.4</w:t>
            </w:r>
          </w:p>
        </w:tc>
        <w:tc>
          <w:tcPr>
            <w:tcW w:type="dxa" w:w="1495"/>
            <w:tcBorders>
              <w:bottom w:val="single" w:sz="8" w:space="0" w:color="000000"/>
            </w:tcBorders>
          </w:tcPr>
          <w:p>
            <w:pPr>
              <w:pStyle w:val="MDPI42tablebody"/>
              <w:bidi w:val="0"/>
            </w:pPr>
            <w:r>
              <w:rPr>
                <w:highlight w:val="yellow"/>
              </w:rPr>
            </w:r>
            <w:r>
              <w:rPr>
                <w:sz w:val="20"/>
                <w:highlight w:val="yellow"/>
              </w:rPr>
              <w:t>48.48</w:t>
            </w:r>
          </w:p>
        </w:tc>
      </w:tr>
    </w:tbl>
    <w:p>
      <w:pPr>
        <w:pStyle w:val="MDPI31text"/>
        <w:rPr/>
      </w:pPr>
      <w:r>
        <w:rPr>
          <w:highlight w:val="yellow"/>
        </w:rPr>
        <w:t xml:space="preserve">Averaged across the three ratios tested (r = 0.3, 0.5, 0.7), LSPM's throughput relative to raw serving falls from 93.0% at concurrency 1 to 85.1% at concurrency 5, then to 59.0% at concurrency 10 (where only 83.3% of LSPM requests complete within the timeout, versus 100% for raw) and 29.4% at concurrency 20 (only 43.3% of LSPM requests complete). Naive truncation does not show this degradation at r = 0.5 or r = 0.7, where its throughput is comparable to or higher than raw; at r = 0.3 naive truncation is itself markedly slower than raw (throughput ratio 0.36-0.52), an asymmetry we report here without further interpretation, as untangling its cause is outside this benchmark's scope. Taken together, this is the paper's most important open validation item, now closed with a measured, unfavorable-at-scale result rather than left as a stated gap: LSPM's zero-measurable-penalty finding in Section 4.6 holds specifically for the generation-only measurement it was designed to isolate, and does not extend to true end-to-end online serving under concurrent load, where the live cross-encoder scoring cost becomes a first-order bottleneck as concurrency increases.</w:t>
      </w:r>
    </w:p>
    <w:p>
      <w:pPr>
        <w:pStyle w:val="MDPI31text"/>
        <w:rPr/>
      </w:pPr>
      <w:r>
        <w:rPr>
          <w:highlight w:val="yellow"/>
        </w:rPr>
        <w:t xml:space="preserve">Three limits on this result are disclosed rather than smoothed over. First, this benchmark's harness runs a single instance of the cross-encoder, shared unbatched across every concurrent worker thread, on the same GPU that serves generation; at concurrency 20 that means up to 20 threads issuing individual, non-batched scoring calls against one model instance while vLLM also generates on the same card. Some of the reported LSPM slowdown may therefore reflect this harness's resource contention and lack of batching rather than a property inherent to semantic pruning itself; a production deployment that batches concurrent scoring requests or isolates the cross-encoder on separate hardware could plausibly show a smaller penalty, and this benchmark does not measure that configuration. Second, each cell was run once, not repeated, so the table reports point estimates with no confidence interval and no test of whether a given gap is distinguishable from run-to-run variance; unlike the main GPU benchmark's three-repeat design (Section 4.6), a single run here could overstate or understate the true effect at any one cell. Third, this benchmark and the one in Section 4.6 use different load-generation tools (a small thread pool here versus Locust there) and, per the protocol above, deliberately different context-construction paths (live versus precomputed), so the two are not a controlled contrast against each other and should each be read on its own terms rather than as a clean before/after comparison.</w:t>
      </w:r>
    </w:p>
    <w:p>
      <w:pPr>
        <w:pStyle w:val="MDPI22heading2"/>
        <w:spacing w:before="240" w:after="60"/>
        <w:rPr/>
      </w:pPr>
      <w:r>
        <w:rPr/>
        <w:t xml:space="preserve">4.12. Controller versus Matched-Fixed-Ratio Comparison Under Memory Pressure</w:t>
      </w:r>
    </w:p>
    <w:p>
      <w:pPr>
        <w:pStyle w:val="MDPI31text"/>
        <w:rPr/>
      </w:pPr>
      <w:r>
        <w:rPr>
          <w:highlight w:val="yellow"/>
        </w:rPr>
        <w:t xml:space="preserve">Under the protocol of Section 3.5.8, we reran the dynamic controller and a fixed-ratio condition matched to the controller's own realized mean ratio back to back under the same --gpu-memory-utilization 0.3 constrained cache pool as Section 4.7's redesigned ablation, on the same RTX 4090 48 GiB card used throughout this paper, logging every request's ratio, KV-cache occupancy, TTFT, and total latency. The two arms are matched on mean compression ratio, not on mean retained token count directly; because every request in this benchmark draws from the same six-document ARCD candidate pool (Section 3.4), a matched ratio is a reasonable proxy for a matched token budget here, but the two are not identical when per-question context length varies, and we report the match as ratio-based rather than describe it as token-matched. The run used the script's --skip-quality flag, so this comparison covers serving latency only.</w:t>
      </w:r>
    </w:p>
    <w:p>
      <w:pPr>
        <w:pStyle w:val="MDPI41tablecaption"/>
        <w:rPr/>
      </w:pPr>
      <w:r>
        <w:rPr>
          <w:b/>
        </w:rPr>
        <w:t xml:space="preserve">Table 10. Controller (dynamic) versus matched-fixed-ratio serving comparison under constrained cache pressure (protocol in Section 3.5.8). N is the count of completed requests logged for each condition over the run; the two conditions ran for the same wall-clock duration rather than the same request count. Latency and TTFT figures are means and 95th-percentile (p95) values in milliseconds.</w:t>
      </w:r>
    </w:p>
    <w:tbl>
      <w:tblPr>
        <w:tblW w:type="auto" w:w="0"/>
        <w:tblLook w:firstColumn="1" w:firstRow="1" w:lastColumn="0" w:lastRow="0" w:noHBand="0" w:noVBand="1" w:val="04A0"/>
        <w:bidiVisual w:val="0"/>
      </w:tblPr>
      <w:tblGrid>
        <w:gridCol w:w="1163"/>
        <w:gridCol w:w="1163"/>
        <w:gridCol w:w="1163"/>
        <w:gridCol w:w="1163"/>
        <w:gridCol w:w="1163"/>
        <w:gridCol w:w="1163"/>
        <w:gridCol w:w="1163"/>
        <w:gridCol w:w="1163"/>
        <w:gridCol w:w="1163"/>
      </w:tblGrid>
      <w:tr>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ratio</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Max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p95</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p95</w:t>
            </w:r>
          </w:p>
        </w:tc>
      </w:tr>
      <w:tr>
        <w:tc>
          <w:tcPr>
            <w:tcW w:type="dxa" w:w="1163"/>
          </w:tcPr>
          <w:p>
            <w:pPr>
              <w:pStyle w:val="MDPI42tablebody"/>
              <w:bidi w:val="0"/>
            </w:pPr>
            <w:r>
              <w:rPr>
                <w:highlight w:val="yellow"/>
              </w:rPr>
            </w:r>
            <w:r>
              <w:rPr>
                <w:sz w:val="20"/>
                <w:highlight w:val="yellow"/>
              </w:rPr>
              <w:t>dynamic</w:t>
            </w:r>
          </w:p>
        </w:tc>
        <w:tc>
          <w:tcPr>
            <w:tcW w:type="dxa" w:w="1163"/>
          </w:tcPr>
          <w:p>
            <w:pPr>
              <w:pStyle w:val="MDPI42tablebody"/>
              <w:bidi w:val="0"/>
            </w:pPr>
            <w:r>
              <w:rPr>
                <w:highlight w:val="yellow"/>
              </w:rPr>
            </w:r>
            <w:r>
              <w:rPr>
                <w:sz w:val="20"/>
                <w:highlight w:val="yellow"/>
              </w:rPr>
              <w:t>5,637</w:t>
            </w:r>
          </w:p>
        </w:tc>
        <w:tc>
          <w:tcPr>
            <w:tcW w:type="dxa" w:w="1163"/>
          </w:tcPr>
          <w:p>
            <w:pPr>
              <w:pStyle w:val="MDPI42tablebody"/>
              <w:bidi w:val="0"/>
            </w:pPr>
            <w:r>
              <w:rPr>
                <w:highlight w:val="yellow"/>
              </w:rPr>
            </w:r>
            <w:r>
              <w:rPr>
                <w:sz w:val="20"/>
                <w:highlight w:val="yellow"/>
              </w:rPr>
              <w:t>0.565 (0.2-0.8)</w:t>
            </w:r>
          </w:p>
        </w:tc>
        <w:tc>
          <w:tcPr>
            <w:tcW w:type="dxa" w:w="1163"/>
          </w:tcPr>
          <w:p>
            <w:pPr>
              <w:pStyle w:val="MDPI42tablebody"/>
              <w:bidi w:val="0"/>
            </w:pPr>
            <w:r>
              <w:rPr>
                <w:highlight w:val="yellow"/>
              </w:rPr>
            </w:r>
            <w:r>
              <w:rPr>
                <w:sz w:val="20"/>
                <w:highlight w:val="yellow"/>
              </w:rPr>
              <w:t>0.414</w:t>
            </w:r>
          </w:p>
        </w:tc>
        <w:tc>
          <w:tcPr>
            <w:tcW w:type="dxa" w:w="1163"/>
          </w:tcPr>
          <w:p>
            <w:pPr>
              <w:pStyle w:val="MDPI42tablebody"/>
              <w:bidi w:val="0"/>
            </w:pPr>
            <w:r>
              <w:rPr>
                <w:highlight w:val="yellow"/>
              </w:rPr>
            </w:r>
            <w:r>
              <w:rPr>
                <w:sz w:val="20"/>
                <w:highlight w:val="yellow"/>
              </w:rPr>
              <w:t>0.994</w:t>
            </w:r>
          </w:p>
        </w:tc>
        <w:tc>
          <w:tcPr>
            <w:tcW w:type="dxa" w:w="1163"/>
          </w:tcPr>
          <w:p>
            <w:pPr>
              <w:pStyle w:val="MDPI42tablebody"/>
              <w:bidi w:val="0"/>
            </w:pPr>
            <w:r>
              <w:rPr>
                <w:highlight w:val="yellow"/>
              </w:rPr>
            </w:r>
            <w:r>
              <w:rPr>
                <w:sz w:val="20"/>
                <w:highlight w:val="yellow"/>
              </w:rPr>
              <w:t>1,507.6</w:t>
            </w:r>
          </w:p>
        </w:tc>
        <w:tc>
          <w:tcPr>
            <w:tcW w:type="dxa" w:w="1163"/>
          </w:tcPr>
          <w:p>
            <w:pPr>
              <w:pStyle w:val="MDPI42tablebody"/>
              <w:bidi w:val="0"/>
            </w:pPr>
            <w:r>
              <w:rPr>
                <w:highlight w:val="yellow"/>
              </w:rPr>
            </w:r>
            <w:r>
              <w:rPr>
                <w:sz w:val="20"/>
                <w:highlight w:val="yellow"/>
              </w:rPr>
              <w:t>4,958.2</w:t>
            </w:r>
          </w:p>
        </w:tc>
        <w:tc>
          <w:tcPr>
            <w:tcW w:type="dxa" w:w="1163"/>
          </w:tcPr>
          <w:p>
            <w:pPr>
              <w:pStyle w:val="MDPI42tablebody"/>
              <w:bidi w:val="0"/>
            </w:pPr>
            <w:r>
              <w:rPr>
                <w:highlight w:val="yellow"/>
              </w:rPr>
            </w:r>
            <w:r>
              <w:rPr>
                <w:sz w:val="20"/>
                <w:highlight w:val="yellow"/>
              </w:rPr>
              <w:t>2,654.0</w:t>
            </w:r>
          </w:p>
        </w:tc>
        <w:tc>
          <w:tcPr>
            <w:tcW w:type="dxa" w:w="1163"/>
          </w:tcPr>
          <w:p>
            <w:pPr>
              <w:pStyle w:val="MDPI42tablebody"/>
              <w:bidi w:val="0"/>
            </w:pPr>
            <w:r>
              <w:rPr>
                <w:highlight w:val="yellow"/>
              </w:rPr>
            </w:r>
            <w:r>
              <w:rPr>
                <w:sz w:val="20"/>
                <w:highlight w:val="yellow"/>
              </w:rPr>
              <w:t>6,870.6</w:t>
            </w:r>
          </w:p>
        </w:tc>
      </w:tr>
      <w:tr>
        <w:tc>
          <w:tcPr>
            <w:tcW w:type="dxa" w:w="1163"/>
            <w:tcBorders>
              <w:bottom w:val="single" w:sz="8" w:space="0" w:color="000000"/>
            </w:tcBorders>
          </w:tcPr>
          <w:p>
            <w:pPr>
              <w:pStyle w:val="MDPI42tablebody"/>
              <w:bidi w:val="0"/>
            </w:pPr>
            <w:r>
              <w:rPr>
                <w:highlight w:val="yellow"/>
              </w:rPr>
            </w:r>
            <w:r>
              <w:rPr>
                <w:sz w:val="20"/>
                <w:highlight w:val="yellow"/>
              </w:rPr>
              <w:t>matched_fixed</w:t>
            </w:r>
          </w:p>
        </w:tc>
        <w:tc>
          <w:tcPr>
            <w:tcW w:type="dxa" w:w="1163"/>
            <w:tcBorders>
              <w:bottom w:val="single" w:sz="8" w:space="0" w:color="000000"/>
            </w:tcBorders>
          </w:tcPr>
          <w:p>
            <w:pPr>
              <w:pStyle w:val="MDPI42tablebody"/>
              <w:bidi w:val="0"/>
            </w:pPr>
            <w:r>
              <w:rPr>
                <w:highlight w:val="yellow"/>
              </w:rPr>
            </w:r>
            <w:r>
              <w:rPr>
                <w:sz w:val="20"/>
                <w:highlight w:val="yellow"/>
              </w:rPr>
              <w:t>6,299</w:t>
            </w:r>
          </w:p>
        </w:tc>
        <w:tc>
          <w:tcPr>
            <w:tcW w:type="dxa" w:w="1163"/>
            <w:tcBorders>
              <w:bottom w:val="single" w:sz="8" w:space="0" w:color="000000"/>
            </w:tcBorders>
          </w:tcPr>
          <w:p>
            <w:pPr>
              <w:pStyle w:val="MDPI42tablebody"/>
              <w:bidi w:val="0"/>
            </w:pPr>
            <w:r>
              <w:rPr>
                <w:highlight w:val="yellow"/>
              </w:rPr>
            </w:r>
            <w:r>
              <w:rPr>
                <w:sz w:val="20"/>
                <w:highlight w:val="yellow"/>
              </w:rPr>
              <w:t>0.565 (fixed)</w:t>
            </w:r>
          </w:p>
        </w:tc>
        <w:tc>
          <w:tcPr>
            <w:tcW w:type="dxa" w:w="1163"/>
            <w:tcBorders>
              <w:bottom w:val="single" w:sz="8" w:space="0" w:color="000000"/>
            </w:tcBorders>
          </w:tcPr>
          <w:p>
            <w:pPr>
              <w:pStyle w:val="MDPI42tablebody"/>
              <w:bidi w:val="0"/>
            </w:pPr>
            <w:r>
              <w:rPr>
                <w:highlight w:val="yellow"/>
              </w:rPr>
            </w:r>
            <w:r>
              <w:rPr>
                <w:sz w:val="20"/>
                <w:highlight w:val="yellow"/>
              </w:rPr>
              <w:t>0.516</w:t>
            </w:r>
          </w:p>
        </w:tc>
        <w:tc>
          <w:tcPr>
            <w:tcW w:type="dxa" w:w="1163"/>
            <w:tcBorders>
              <w:bottom w:val="single" w:sz="8" w:space="0" w:color="000000"/>
            </w:tcBorders>
          </w:tcPr>
          <w:p>
            <w:pPr>
              <w:pStyle w:val="MDPI42tablebody"/>
              <w:bidi w:val="0"/>
            </w:pPr>
            <w:r>
              <w:rPr>
                <w:highlight w:val="yellow"/>
              </w:rPr>
            </w:r>
            <w:r>
              <w:rPr>
                <w:sz w:val="20"/>
                <w:highlight w:val="yellow"/>
              </w:rPr>
              <w:t>0.995</w:t>
            </w:r>
          </w:p>
        </w:tc>
        <w:tc>
          <w:tcPr>
            <w:tcW w:type="dxa" w:w="1163"/>
            <w:tcBorders>
              <w:bottom w:val="single" w:sz="8" w:space="0" w:color="000000"/>
            </w:tcBorders>
          </w:tcPr>
          <w:p>
            <w:pPr>
              <w:pStyle w:val="MDPI42tablebody"/>
              <w:bidi w:val="0"/>
            </w:pPr>
            <w:r>
              <w:rPr>
                <w:highlight w:val="yellow"/>
              </w:rPr>
            </w:r>
            <w:r>
              <w:rPr>
                <w:sz w:val="20"/>
                <w:highlight w:val="yellow"/>
              </w:rPr>
              <w:t>1,525.5</w:t>
            </w:r>
          </w:p>
        </w:tc>
        <w:tc>
          <w:tcPr>
            <w:tcW w:type="dxa" w:w="1163"/>
            <w:tcBorders>
              <w:bottom w:val="single" w:sz="8" w:space="0" w:color="000000"/>
            </w:tcBorders>
          </w:tcPr>
          <w:p>
            <w:pPr>
              <w:pStyle w:val="MDPI42tablebody"/>
              <w:bidi w:val="0"/>
            </w:pPr>
            <w:r>
              <w:rPr>
                <w:highlight w:val="yellow"/>
              </w:rPr>
            </w:r>
            <w:r>
              <w:rPr>
                <w:sz w:val="20"/>
                <w:highlight w:val="yellow"/>
              </w:rPr>
              <w:t>3,783.3</w:t>
            </w:r>
          </w:p>
        </w:tc>
        <w:tc>
          <w:tcPr>
            <w:tcW w:type="dxa" w:w="1163"/>
            <w:tcBorders>
              <w:bottom w:val="single" w:sz="8" w:space="0" w:color="000000"/>
            </w:tcBorders>
          </w:tcPr>
          <w:p>
            <w:pPr>
              <w:pStyle w:val="MDPI42tablebody"/>
              <w:bidi w:val="0"/>
            </w:pPr>
            <w:r>
              <w:rPr>
                <w:highlight w:val="yellow"/>
              </w:rPr>
            </w:r>
            <w:r>
              <w:rPr>
                <w:sz w:val="20"/>
                <w:highlight w:val="yellow"/>
              </w:rPr>
              <w:t>2,880.4</w:t>
            </w:r>
          </w:p>
        </w:tc>
        <w:tc>
          <w:tcPr>
            <w:tcW w:type="dxa" w:w="1163"/>
            <w:tcBorders>
              <w:bottom w:val="single" w:sz="8" w:space="0" w:color="000000"/>
            </w:tcBorders>
          </w:tcPr>
          <w:p>
            <w:pPr>
              <w:pStyle w:val="MDPI42tablebody"/>
              <w:bidi w:val="0"/>
            </w:pPr>
            <w:r>
              <w:rPr>
                <w:highlight w:val="yellow"/>
              </w:rPr>
            </w:r>
            <w:r>
              <w:rPr>
                <w:sz w:val="20"/>
                <w:highlight w:val="yellow"/>
              </w:rPr>
              <w:t>7,302.7</w:t>
            </w:r>
          </w:p>
        </w:tc>
      </w:tr>
    </w:tbl>
    <w:p>
      <w:pPr>
        <w:pStyle w:val="MDPI31text"/>
        <w:rPr/>
      </w:pPr>
      <w:r>
        <w:rPr>
          <w:highlight w:val="yellow"/>
        </w:rPr>
        <w:t xml:space="preserve">The result is a mixed one, not a clean win for either arm: the dynamic controller has a lower mean TTFT (1,507.6 ms versus 1,525.5 ms), lower mean total latency (2,654.0 ms versus 2,880.4 ms), and a lower p95 total latency (6,870.6 ms versus 7,302.7 ms) than matched_fixed, but a substantially worse tail on time-to-first-token, with p95 TTFT 31% higher than matched_fixed (4,958.2 ms versus 3,783.3 ms). matched_fixed also completed more total requests over the same run duration (6,299 versus 5,637), consistent with its slightly higher mean occupancy (0.516 versus 0.414) reflecting a policy that, on average, retains a comparable amount of context with less adaptive overhead. Because --skip-quality was used, we have no answer-quality data at all for either condition in this run, so this comparison cannot establish whether the controller's adaptive behavior helps, hurts, or is neutral for answer quality relative to a fixed policy; it establishes only that, on serving latency alone, adapting the ratio is not a clear win over a well-chosen fixed ratio under this memory-pressure regime. This closes the comparison Section 4.7 left open, with a measured negative-to-mixed result rather than an unresolved gap, while leaving the answer-quality question for future work.</w:t>
      </w:r>
    </w:p>
    <w:p>
      <w:pPr>
        <w:pStyle w:val="MDPI31text"/>
        <w:rPr/>
      </w:pPr>
      <w:r>
        <w:rPr>
          <w:highlight w:val="yellow"/>
        </w:rPr>
        <w:t xml:space="preserve">Three further limits are disclosed rather than smoothed over. First, as in Section 4.11, this harness runs a single cross-encoder instance shared unbatched across every concurrent worker thread within a condition, on the same GPU serving generation; the load ramp here reaches 80 concurrent workers, well above Section 4.11's maximum of 20, so contention on this shared, unbatched instance is if anything a larger factor here, and could inflate both conditions' latencies similarly rather than necessarily bias the comparison between them. Second, the two conditions were not run in a counterbalanced or randomized order: dynamic always ran first, matched_fixed always second, so any drift in server state, thermal conditions, or system load between the two passes is confounded with condition rather than averaged out; we did not repeat the pair in reverse order to check for this. Third, no significance test accompanies the serving-latency comparison in Table 10: the reported means and p95 values are point estimates from one run per condition, not paired statistics with a confidence interval or a p-value, so a gap such as the 1.2% difference in mean TTFT should be read as within the range plausibly attributable to run-to-run noise rather than as a demonstrated effect, while the 31% p95 TTFT gap is large enough to be a more credible signal even without a formal test.</w:t>
      </w:r>
    </w:p>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every ratio tested, on the same Arabic RAG workload, generator, retrieval pool, and questions used throughout this paper, most convincingly at r = 0.3 and 0.5, with the r = 0.7 gap the weakest of the three (its bootstrap interval and rank-based test disagree at the margin; Section 4.8).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highlight w:val="yellow"/>
        </w:rPr>
        <w:t xml:space="preserve">(3) Systems validation. </w:t>
      </w:r>
      <w:r>
        <w:rPr>
          <w:highlight w:val="yellow"/>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highlight w:val="yellow"/>
        </w:rPr>
        <w:t xml:space="preserve">Separately, Section 4.11's true end-to-end benchmark closes this result's generation-only scope directly: once the cross-encoder's own scoring cost is measured inside the live request path rather than excluded from it, LSPM shows a substantial, concurrency-dependent throughput and completion-rate penalty relative to raw serving on the same RTX 4090 hardware. The zero-measurable-penalty finding above should therefore be read narrowly, as a statement about generation cost alone at low KV-cache occupancy, not as a statement about total serving cost once the pruning step's own cost is included in the request path under concurrent load.</w:t>
      </w:r>
    </w:p>
    <w:p>
      <w:pPr>
        <w:pStyle w:val="MDPI31text"/>
        <w:rPr/>
      </w:pPr>
      <w:r>
        <w:rPr>
          <w:b/>
          <w:highlight w:val="yellow"/>
        </w:rPr>
        <w:t xml:space="preserve">(4) Dynamic controller. </w:t>
      </w:r>
      <w:r>
        <w:rPr>
          <w:highlight w:val="yellow"/>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highlight w:val="yellow"/>
        </w:rPr>
        <w:t xml:space="preserve">The matched fixed-ratio comparison this ablation called for has since been run (Section 4.12): under the same constrained cache pool, a fixed ratio set to the dynamic controller's own realized mean produces a mixed result on serving latency relative to the dynamic controller (lower mean TTFT and total latency for dynamic, lower p95 TTFT and more completed requests for matched_fixed), with no answer-quality data collected for either arm. Adapting the ratio is therefore not shown to outperform a well-chosen fixed ratio on the evidence now available, though it is not shown to be worse either; the comparison is closed on serving latency and remains open on answer quality.</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highlight w:val="yellow"/>
        </w:rPr>
        <w:t xml:space="preserve">(4b) Cross-encoder backend sensitivity. </w:t>
      </w:r>
      <w:r>
        <w:rPr>
          <w:highlight w:val="yellow"/>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w:t>
      </w:r>
      <w:r>
        <w:rPr>
          <w:highlight w:val="yellow"/>
        </w:rPr>
        <w:t xml:space="preserve">a generation-only serving-cost result (Section 3.1) of zero measurable penalty relative to raw, </w:t>
      </w:r>
      <w:r>
        <w:rPr/>
        <w:t xml:space="preserve">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w:t>
      </w:r>
      <w:r>
        <w:rPr>
          <w:highlight w:val="yellow"/>
        </w:rPr>
        <w:t xml:space="preserve">A true end-to-end benchmark that includes the pruning step's own cost inside the live request path (Section 4.11) shows this generation-only result does not extend to concurrent-load online serving, where LSPM's throughput and completion rate degrade substantially as concurrency rises; and a matched controller-versus-fixed-ratio comparison under memory pressure (Section 4.12) finds a mixed serving-latency result with no answer-quality data, so neither open item is resolved in LSPM's favor. </w:t>
      </w:r>
      <w:r>
        <w:rPr/>
        <w:t xml:space="preserve">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w:t>
      </w:r>
      <w:r>
        <w:rPr>
          <w:highlight w:val="yellow"/>
        </w:rPr>
        <w:t xml:space="preserve">finds a generation-only serving-cost result (Section 3.1) of zero measurable penalty relative to raw: </w:t>
      </w:r>
      <w:r>
        <w:rPr/>
        <w:t xml:space="preserve">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was left open at that point. </w:t>
      </w:r>
      <w:r>
        <w:rPr>
          <w:highlight w:val="yellow"/>
        </w:rPr>
        <w:t xml:space="preserve">A follow-up comparison against a fixed ratio matched to the controller's own realized mean, run under the same cache pressure (Section 4.12), has since closed that question with a mixed result: the dynamic controller has lower mean TTFT and total latency, but a worse p95 TTFT and fewer completed requests than the matched fixed ratio, and no answer-quality data were collected for either arm, so adapting the ratio is not shown to be an improvement over a well-chosen fixed one. A separate true end-to-end online benchmark (Section 4.11), which scores and prunes context inside the live request path rather than reading it from a precomputed lookup, further finds that LSPM's throughput and completion rate degrade substantially relative to raw serving as concurrency rises, in contrast to the generation-only zero-measurable-penalty result reported above. </w:t>
      </w:r>
      <w:r>
        <w:rPr/>
        <w:t xml:space="preserve">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every ratio tested, most convincingly at r = 0.3 and 0.5 (largest gap +0.211 at r = 0.3), with the r = 0.7 gap the weakest of the three and its bootstrap interval and rank-based test disagreeing at the margin (Section 4.8).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controller ablation, true end-to-end online serving benchmark (Section 4.11), and controller-versus-matched-fixed-ratio comparison (Section 4.12) were run on rented single-GPU cloud instances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For the true end-to-end online serving benchmark of Section 4.11, the per-cell summary statistics for all three ratios tested are released as results/online_e2e_r03/summary.csv, results/online_e2e_r05/summary.csv, and results/online_e2e_r07/summary.csv, alongside the harness that produced them (benchmark/run_online_e2e_benchmark.py). For the controller-versus-matched-fixed-ratio comparison of Section 4.12, the full per-request logs of both conditions are released as results/controller_vs_matched/dynamic_log.jsonl (5,637 requests) and results/controller_vs_matched/matched_fixed_log.jsonl (6,299 requests), each row recording the condition, ratio in effect, KV-cache occupancy at request time, TTFT, and total latency, alongside the harness that produced them (scripts/run_controller_vs_matched_fixed.py); this run used the harness's --skip-quality flag, so no answer-quality logs accompany it.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10.5281/zenodo.22846964;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