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Quality-Preserving Compression Under Token Inflation</w:t>
      </w:r>
    </w:p>
    <w:p>
      <w:pPr>
        <w:pStyle w:val="MDPI13authornames"/>
        <w:rPr/>
      </w:pPr>
      <w:r>
        <w:t xml:space="preserve">Ali Abdul Razzaq Tarish </w:t>
      </w:r>
      <w:r>
        <w:rPr>
          <w:vertAlign w:val="superscript"/>
        </w:rPr>
        <w:t>1</w:t>
      </w:r>
      <w:r>
        <w:t xml:space="preserve"> and Noor Abdul Khaleq Zghair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Noor.A.Zghair@uotechnology.edu.iq</w:t>
      </w:r>
    </w:p>
    <w:p>
      <w:pPr>
        <w:pStyle w:val="MDPI17abstract"/>
        <w:jc w:val="start"/>
        <w:rPr>
          <w:b/>
        </w:rPr>
      </w:pPr>
      <w:r>
        <w:rPr>
          <w:b/>
        </w:rPr>
        <w:t>Abstract</w:t>
      </w:r>
    </w:p>
    <w:p>
      <w:pPr>
        <w:pStyle w:val="MDPI17abstract"/>
        <w:spacing w:before="0" w:after="0"/>
        <w:rPr/>
      </w:pPr>
      <w:r>
        <w:rPr/>
        <w:t xml:space="preserve">Retrieval-Augmented Generation (RAG) for Modern Standard Arabic (MSA) faces a memory bottleneck: Arabic's rich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at a fixed or dynamic ratio. On 30 verified Arabic/English sentence pairs, two tokenizers confirm Arabic requires 1.72-1.79x as many tokens as English for equivalent content (bootstrap p &lt; 0.0001). On 140 real Arabic reading-comprehension questions </w:t>
      </w:r>
      <w:r>
        <w:rPr>
          <w:highlight w:val="yellow"/>
        </w:rPr>
        <w:t xml:space="preserve">retrieved into a controlled six-document candidate pool (one guaranteed gold passage plus five distractors; Section 3.4), </w:t>
      </w:r>
      <w:r>
        <w:rPr/>
        <w:t xml:space="preserve">LSPM significantly outperforms naive sentence-count-matched truncation on token-F1 at the most aggressive ratio tested (F1 0.652 vs. 0.537, Holm-adjusted p = 0.0067), remaining equivalent to the unpruned answer. This advantage holds under a token-budget-matched rerun (+0.140 F1, p = 0.0003), against LLMLingua-2, a modern learned compressor (largest gap +0.211 F1, p &lt; 0.0001), and on an independent replication using 140 freshly sampled, non-overlapping questions (Holm-adjusted p &lt; 0.0001). A repeated GPU benchmark, </w:t>
      </w:r>
      <w:r>
        <w:rPr>
          <w:highlight w:val="yellow"/>
        </w:rPr>
        <w:t xml:space="preserve">scoped to generation over an already-pruned context and excluding the pruning step's own ~506 ms cross-encoder scoring cost (quantified separately in Section 3.1), </w:t>
      </w:r>
      <w:r>
        <w:rPr/>
        <w:t xml:space="preserve">finds no measurable throughput or latency penalty versus unpruned serving, though this benchmark's KV-cache occupancy never approached saturation; a separate, higher-pressure ablation drives occupancy to 99.2% and confirms the dynamic controller adapts, but not yet that adapting outperforms a matched fixed ratio, so the memory-efficiency claim remains analytical. </w:t>
      </w:r>
      <w:r>
        <w:rPr>
          <w:highlight w:val="yellow"/>
        </w:rPr>
        <w:t xml:space="preserve">A true end-to-end online benchmark, scoring and pruning context inside the live request path instead of reading it from a precomputed context, finds a substantial, concurrency-dependent throughput and completion-rate penalty for LSPM relative to unpruned serving, and a matching controller-versus-matched-fixed-ratio comparison under memory pressure is a mixed result on serving latency with no answer-quality data collected. </w:t>
      </w:r>
      <w:r>
        <w:rPr/>
        <w:t xml:space="preserve">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built on the Transformer architecture [1], have become the default reasoning engine behind Retrieval-Augmented Generation (RAG) systems that ground generation in externally retrieved evidence rather than relying solely on parametric memory [2]. The scaling of Transformer-based decoders to tens of billions of parameters, demonstrated at scale by GPT-3's few-shot capabilities [3], is precisely what makes every additional context token expensive: larger models carry larger per-token Key-Value state, so the tokenization inefficiencies this paper measures for Arabic compound directly with model scale. Every retrieved token that enters an LLM's context window occupies a slot in the Key-Value (KV) cache that memory-efficient serving engines such as vLLM must hold in GPU memory for the duration of the request [4]. vLLM's PagedAttention algorithm manages this pressure by paging the KV cache into fixed-size blocks [4], and related techniques such as attention-sink streaming [5] and heavy-hitter eviction [6]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typically built with byte-pair encoding (BPE) [7] and trained predominantly on English-dominated corpora, fragment Arabic text substantially more than English text of equivalent meaning; BPE's merge statistics are learned from the training corpus's character-pair frequencies, so a corpus skewed toward English yields a vocabulary that represents common English morphemes as single tokens far more often than it does Arabic's templatic root-and-pattern morphology. For a fixed context budget this means an Arabic RAG system retrieves less semantic content than an English one, and for a fixed amount of retrieved content it imposes a larger KV-cache footprint. Prompt-compression methods such as LLMLingua [8], its long-context variant LongLLMLingua [9], Selective Context [10], RECOMP [11], learned soft-prompt compressors such as AutoCompressor [12] and gisting [13]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[14], which motivates pruning irrelevant content rather than simply retrieving more of it.</w:t>
      </w:r>
    </w:p>
    <w:p>
      <w:pPr>
        <w:pStyle w:val="MDPI31text"/>
        <w:rPr/>
      </w:pPr>
      <w:r>
        <w:rPr>
          <w:highlight w:val="yellow"/>
        </w:rPr>
        <w:t xml:space="preserve">This tokenization gap is a practical deployment barrier, not only an academic inefficiency, in settings where GPU memory or inference budget is already the binding constraint. Commercial deployments billed per token pay a direct cost penalty for Arabic relative to English at the same query volume, consistent with the per-language cost inequity in commercial API pricing that Ahia et al. document [15]; the same inflation raises the GPU memory a self-hosted deployment must reserve per concurrent Arabic-language request, which is the more binding constraint for the low-resource, on-premise, single-GPU deployments common outside large commercial labs. This is not a hypothetical constraint: a 2025 review of the Arabic large language model landscape identifies high computational demand relative to regional business resources as a specific, named barrier bridging Arabic NLP research to commercial deployment, alongside limited regional compute infrastructure and cross-border collaboration [16], and a separate compact Arabic language model effort motivates its own design explicitly around bridging the resource demands of large-scale models and the practical constraints of real-world Arabic-language deployment [17]. Reducing the number of tokens a retrieved passage occupies before it reaches the KV cache, this paper's central mechanism, is one lever available in exactly this setting, alongside the model-side memory techniques discussed as complementary, unevaluated-in-combination directions in Section 5, item 4a, which act on a different axis of the same cost.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[18], and (iii) reconstructs a compact, order-preserving context from the highest-scoring sentences, at a ratio that can be fixed or computed dynamically from vLLM's live /metrics endpoint.</w:t>
      </w:r>
    </w:p>
    <w:p>
      <w:pPr>
        <w:pStyle w:val="MDPI31text"/>
        <w:rPr/>
      </w:pPr>
      <w:r>
        <w:rPr>
          <w:highlight w:val="yellow"/>
        </w:rPr>
        <w:t xml:space="preserve">This paper is principally an architecture and validation study of context selection for Arabic RAG: the tokenization measurement, the naive-truncation baseline comparison, the end-to-end retrieval check, and the human evaluation are its central evidence. It additionally includes a GPU benchmark against a self-hosted vLLM server, now executed under the corrected protocol: seven context conditions crossed with five concurrency levels, each cell repeated three times in randomized order with pruning moved out of the load generator, for 105 runs and 191,652 requests with zero failures. That benchmark, scoped to generation cost only (Section 3.1 quantifies the pruning step's own cross-encoder cost separately), finds that semantic pruning imposes no measurable throughput or time-to-first-token penalty relative to unpruned serving at any concurrency level tested; the 8.5-11.9% throughput deficit reported for LSPM by the earlier, confounded exploratory run does not survive removal of the load-generator-side scoring cost. It also finds that KV-cache occupancy never rose above 9% of capacity on this hardware, so the benchmark establishes the absence of a serving-cost penalty rather than a demonstrated memory benefit under pressure. A first ablation of the dynamic ratio controller under this same low-pressure regime likewise never reached the 75% occupancy threshold at which the controller would begin adapting, so it validated the controller's plumbing and stability but not its adaptive path; a second, redesigned ablation using a deliberately constrained cache pool subsequently drove occupancy to 99.2% and exercised the controller's full configured ratio range, showing that the adaptive path does engage under real cache pressure. That redesigned run does not, however, show that adapting the ratio improves throughput, tail latency, or answer quality relative to a fixed ratio, because the dynamic and fixed conditions were not matched on average retained context. Both open items identified here have since been closed with new measurements, reported in Sections 4.11 and 4.12: a live, concurrent-load benchmark that scores and prunes context inside the online request path rather than reading it from a precomputed lookup, and a controller-versus-matched-fixed-ratio comparison run under the same constrained-cache-pool pressure as the redesigned ablation. Neither result is favorable enough to report as an unqualified improvement: the true end-to-end benchmark finds a substantial, concurrency-dependent throughput and completion-rate penalty relative to raw serving once the pruning step's own cost is included in the request path, and the controller comparison is a mixed result on serving latency with no answer-quality data collected.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an implemented dynamic compression-ratio controller that couples pruning aggressiveness to real-time GPU KV-cache occupancy. </w:t>
      </w:r>
      <w:r>
        <w:rPr>
          <w:highlight w:val="yellow"/>
        </w:rPr>
        <w:t xml:space="preserve">This controller is a working engineering mechanism, not yet a validated improvement: a redesigned ablation confirms it engages its full adaptive range under real cache pressure, and a further like-for-like comparison against a matched fixed ratio under the same pressure (Section 4.12) finds a mixed result on serving latency with no answer-quality data collected, so adapting the ratio is not shown to outperform a well-chosen fixed one. </w:t>
      </w:r>
      <w:r>
        <w:rPr/>
        <w:t xml:space="preserve">(2) A quantitative measurement of Modern Standard Arabic-English tokenization disparity on a 30-pair hand-verified parallel corpus (bootstrap p &lt; 0.0001 for both of two tokenizers tested). This is not a novel phenomenon: tokenizer fertility gaps between English and morphologically richer or less-represented languages are established in the literature, from Rust et al.'s demonstration that a language's tokenizer quality, not only its pretraining data volume, drives multilingual model performance [19], to Petrov et al.'s systematic measurement of encoding-length disparity across languages [20] and Ahia et al.'s analysis of the resulting per-language cost inequity in commercial API pricing [15]. Our contribution is to confirm that literature on a hand-verified Arabic corpus with the two specific tokenizers used in this study and, more to the point, to carry it into a serving-system setting by connecting the fertility gap to the KV-cache footprint a vLLM-class engine must hold per request, which is a consequence those studies do not measure. (3) A real, paired baseline comparison against naive sentence-count-matched truncation, re-tested at increasing scale up to a 140-question ARCD re-test (980 live generations),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derived from real per-request prompt-token counts, together with a corrected, repeated GPU throughput/TTFT/KV-cache benchmark against a self-hosted vLLM server (35 cells x 3 repeats, 105 runs, 191,652 requests, zero failures) that measures the serving-cost consequences of pruning under load, and two dynamic-controller ablations on real, preserved per-request logs, the second of which redesigns the first to reach genuine cache pressure; all are reported with their scope limits stated, including the finding that the main serving benchmark's KV-cache occupancy never approached saturation on the tested hardware, and that the redesigned controller ablation, while confirming the adaptive path does engage at 99.2% occupancy elsewhere, has not shown that adapting improves throughput, latency, or answer quality relative to a matched fixed ratio. </w:t>
      </w:r>
      <w:r>
        <w:rPr>
          <w:highlight w:val="yellow"/>
        </w:rPr>
        <w:t xml:space="preserve">A further true end-to-end online benchmark (Section 4.11), scoring and pruning context inside the live request path rather than from a precomputed lookup, closes this paper's most important remaining open item by measuring a substantial, concurrency-dependent throughput and completion-rate penalty for LSPM relative to raw serving, in contrast to the generation-only benchmark's zero-measurable-penalty finding. </w:t>
      </w:r>
      <w:r>
        <w:rPr/>
        <w:t xml:space="preserve">(6) A blind, two-rater human evaluation (90 answers, correctness and faithfulness, substantial-to-near-perfect inter-rater agreement) that directionally corroborates the automatic-metric result. (7) A token-budget-matched rerun that gives naive truncation the same per-question token budget LSPM actually spent, closing the token-budget confound left open by contribution (3) and reproducing LSPM's advantage at r = 0.3. (8) A head-to-head comparison against LLMLingua-2, a modern learned prompt compressor, on the identical 140-question evaluation, showing LSPM significantly ahead on token-F1 at all three ratios tested, most convincingly at r = 0.3 and 0.5. (9) A generalization check that reruns the full ARCD ground-truth protocol against a second generator, Qwen2.5-7B-Instruct, replicating the central r = 0.3 quality result with the same or greater statistical strength. (10) An independent, fresh-seed replication of the central r = 0.3 result on 140 newly sampled ARCD questions sharing no question identifiers with the original 140, confirming the finding on data that were not used to set the original sample size or produce the original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the corrected GPU benchmark, and the dynamic-controller ablation.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A broader survey of RAG architectures situates LSPM within the post-retrieval processing stage of the pipeline [21], and several RAG variants make the retrieval-generation loop itself adaptive: REALM jointly pretrains a retriever with the language model [22], kNN-LM instead augments a fixed LM at inference time with a nearest-neighbor datastore [23], Fusion-in-Decoder fuses many retrieved passages inside the decoder rather than concatenating them into a single prompt [24], In-Context RALM shows that simply prepending retrieved documents to the input, without further LM training, already improves language modeling [25], Self-RAG trains the generator to critique and selectively invoke its own retrieval calls [26], Adaptive-RAG routes queries to different retrieval strategies based on estimated question complexity [27], and Self-Ask decomposes a compositional question into retrievable sub-questions before answering [28]; LSPM is compatible with any of these upstream retrieval strategies because it operates only on whatever passages are eventually handed to the generator, and Adaptive-RAG's complexity-conditioned strategy selection is a useful conceptual analogue to LSPM's own dynamic compression-ratio controller (Section 3.1), even though the two operate at different points in the pipeline. Sparse lexical retrieval remains a strong baseline in this literature: the BM25 ranking function [29] predates dense retrieval and is still a common component of hybrid pipelines. Dense retrieval methods such as DPR [30] and ColBERT [31] are complementary to LSPM's retriever-agnostic design. The closest line of work is prompt and context compression: LLMLingua uses an auxiliary LM to iteratively remove low-information tokens under a budget controller [8]; Selective Context uses self-information to prune redundant content [10]; RECOMP compresses retrieved documents into extractive or abstractive summaries [11].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[18], [32]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[18]; Sentence-BERT reformulated this family of models for efficient semantic similarity computation [32]. Multilingual models such as BGE-M3 [33] and multilingual E5 [34]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Progress on multilingual embedding and retrieval quality is tracked by benchmarks such as MIRACL, which covers 18 languages including Arabic [35], and MTEB, which aggregates embedding-model evaluation across a wide range of tasks and languages [36]; the reference implementation's vector index is built with Chroma, though a GPU-accelerated FAISS index [37] is a common production-scale alternative for the same approximate nearest-neighbor search problem. Arabic NLP has matured substantially with the arrival of large pretrained models specific to the language: AraBERT adapted the BERT pretraining recipe to a large Arabic corpus [38], its generative counterpart AraGPT2 adapted GPT-2-style pretraining to Arabic text generation [39], and AraT5 extended this line of work to a text-to-text encoder-decoder architecture spanning translation, summarization, and question generation [40]; CAMeLBERT further showed that matching the variant of Arabic (modern standard, dialectal, or classical) seen during pretraining to the variant seen at fine-tuning time matters more than raw pretraining corpus size [41], and the CAMeL Tools toolkit provides the underlying morphological analysis, tokenization, and dialect-identification utilities used across much of this ecosystem [42].</w:t>
      </w:r>
    </w:p>
    <w:p>
      <w:pPr>
        <w:pStyle w:val="MDPI31text"/>
        <w:rPr/>
      </w:pPr>
      <w:r>
        <w:rPr>
          <w:highlight w:val="yellow"/>
        </w:rPr>
        <w:t xml:space="preserve">An alternative to LSPM's post-retrieval pruning approach would be to reduce Arabic's tokenization inflation at its source, by replacing the generator's general-purpose, English-skewed BPE vocabulary with an Arabic-specific vocabulary of the kind AraBERT, AraGPT2, and AraT5 (above) train for themselves, or with a multilingual tokenizer explicitly balanced across scripts rather than dominated by a BPE merge statistic learned from an English-heavy corpus. Such a tokenizer would reduce the constant token-inflation factor this paper measures (1.72-1.79x, Section 4.1) for a fixed amount of retrieved content, whereas LSPM instead reduces the amount of retrieved content that reaches the generator at all; the two act on different axes of the same cost and are complementary rather than competing; a better tokenizer does not remove the case for pruning, since the sentence-relevance argument for preferring content-aware selection over positional truncation (Section 3.2) holds regardless of tokenizer choice, and even a perfectly balanced tokenizer still serves a finite context window. A full generation-quality comparison is not run here because it requires a generator pretrained or fine-tuned with a different tokenizer, not a drop-in substitution on the fixed, off-the-shelf checkpoints (Llama-3.1-8B-Instruct, Qwen2.5-7B-Instruct) used throughout this paper; that controlled comparison, holding the generator's architecture and training data otherwise fixed, remains a direct extension of this paper identified in Section 5. What can be measured without a matching generator is the vocabulary-level effect itself, and we measure it directly: re-tokenizing the same 30-pair parallel corpus used for this paper's headline tokenization measurement (Section 4.1) with three Arabic-specific WordPiece vocabularies (AraBERTv2 [38], CAMeLBERT-mix [41], and Arabic-BERT [43]) gives a mean Arabic sentence length of 28.5, 18.7, and 17.8 tokens respectively, against Llama-3.1's 33.2, while the same vocabularies tokenize the parallel English sentences far less efficiently (40.1-48.3 tokens against Llama-3.1's 19.3), since their vocabularies are optimized for Arabic rather than balanced across both languages. The Arabic-side reduction is real and substantial (Arabic-BERT uses 46% fewer Arabic tokens than Llama-3.1's tokenizer on this corpus), directly supporting the claim that an Arabic-optimized vocabulary would shrink the KV-cache footprint of the Arabic side of a RAG prompt considerably; the corresponding English-side inflation is not a concern for the retrieved-context use case this paper targets, where the retrieved content is Arabic, but would matter for any bilingual prompt segment (for example an English system prompt) under the same vocabulary. These are masked-language-model tokenizers, not generative tokenizers paired with a trained decoder, so this measurement bounds the vocabulary-level opportunity without establishing that a generator using such a vocabulary would preserve answer quality; that remains the open extension described above.</w:t>
      </w:r>
    </w:p>
    <w:p>
      <w:pPr>
        <w:pStyle w:val="MDPI31text"/>
        <w:rPr/>
      </w:pPr>
      <w:r>
        <w:rPr/>
        <w:t xml:space="preserve">Arabic-specific evaluation has matured alongside these models: ORCA aggregates 60 datasets across seven Arabic NLU task clusters into a single benchmark score [44], ALUE covers Arabic sentence classification, natural language inference, and semantic similarity [45], ArabicMMLU adapts the massive multitask language-understanding format to Arabic [46], and the AceGPT paper [47] additionally introduces ACVA, a benchmark targeting Arabic cultural and value alignment specifically, which is why the same citation covers both AceGPT and ACVA here. Belebele's Arabic variants extend parallel multiple-choice reading comprehension evaluation across 122 language variants [48], and XNLI extends cross-lingual natural language inference evaluation to Arabic among 15 languages [49]. The Arabic Reading Comprehension Dataset (ARCD) [50], a human-authored benchmark in the style of SQuAD [51] with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[4] builds on continuous-batching, iteration-level scheduling [52], chunked-prefill scheduling such as Sarathi-Serve's stall-free batches [53], and cache-management techniques such as StreamingLLM's attention sinks [5] and H2O's heavy-hitter eviction [6] operate orthogonally to LSPM: they manage tokens already in the KV cache, whereas LSPM reduces the number of tokens handed to the engine in the first place, so the two families compose naturally. A separate line of serving-efficiency work reduces the per-token cost of the KV cache itself rather than the token count: FlashAttention computes exact attention with an IO-aware kernel that avoids materializing the full attention matrix [54], and attention-head-sharing designs such as multi-query attention [55] and its generalization, grouped-query attention [56], reduce the number of key-value projections stored per token; all of these are complementary to LSPM's token-count reduction rather than substitutes for it, since they shrink the cost per retained token while LSPM shrinks the number of tokens retained. Our fidelity evaluation relies on three complementary automatic metrics: BLEU measures n-gram precision overlap [57], ROUGE-L uses longest-common-subsequence overlap [58], and BERTScore computes similarity using contextual embeddings rather than exact token overlap, correlating more closely with human judgments of semantic equivalence [59]; RAGAS additionally provides a reference-free framework for scoring RAG-specific qualities such as faithfulness and answer relevance [60]. For the confidence intervals and paired significance tests used throughout this paper, we use the nonparametric bootstrap [61], which avoids distributional assumptions that would be difficult to justify at our sample sizes.</w:t>
      </w:r>
    </w:p>
    <w:p>
      <w:pPr>
        <w:pStyle w:val="MDPI31text"/>
        <w:rPr/>
      </w:pPr>
      <w:r>
        <w:rPr/>
        <w:t xml:space="preserve">Positioning this work against recent context-refinement and compression systems for RAG is instructive. FILCO [62] trains a context-filtering model that scores and removes irrelevant sentences from retrieved passages using lexical and information-theoretic signals, evaluated on six knowledge-intensive tasks; like LSPM it filters retrieved text before generation, but it is trained end-to-end specifically for filtering rather than reusing an off-the-shelf cross-encoder, and it is evaluated only in English. DSLR [63] is closer still in mechanism: an unsupervised pipeline that decomposes retrieved documents into sentences, re-ranks and filters them by a ranking model's score, and reconstructs a coherent passage, which is architecturally the same split-score-reassemble design LSPM uses; DSLR is evaluated on English open-domain QA and does not consider tokenization disparity, a serving engine's KV-cache cost, or a dynamic compression ratio, each of which is this paper's specific contribution. XProvence [64] extends a related zero-cost pruning reranker to over 100 languages via cross-lingual transfer and reports minimal-to-no degradation across four multilingual question-answering benchmarks; it is the closest prior work to LSPM in scope (multilingual context pruning for RAG), but it does not target Arabic's tokenization inflation specifically, does not couple pruning to a live serving-engine signal, and does not report a KV-cache or GPU-serving benchmark. xRAG [65] takes a more aggressive approach, replacing a retrieved passage's text entirely with a single fused embedding token reported to cut inference FLOPs by a factor of 3.53; it achieves a substantially higher compression rate than sentence-level pruning, but it requires training a modality bridge and discards the retrieved text's human-readable form entirely, which is incompatible with an architecture, like LSPM's, that must remain compatible with an unmodified generator and vLLM server.</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DSLR is the closest prior system on claim (i)'s mechanism specifically: both decompose retrieved text into sentences, score them against the query, and reassemble a pruned passage, but DSLR is evaluated only on English open-domain QA with an unsupervised ranker and considers neither a tokenization-disparity motivation, a serving engine's KV-cache cost, nor a live compression-ratio signal, which is exactly the (i)/(ii) gap this paper's novelty claim occupies. LSPM has now been compared directly against a genuine modern learned compressor, LLMLingua-2, and significantly outperforms it on token-F1 at all three ratios tested (Section 4.8); it has not been compared against LLMLingua's original iterative-removal variant, Selective Context, DAC, ACC-RAG, or RECOMP, and that broader comparison against the wider compression-baseline field remains the most important open validation step (Section 5, item 1). What this paper does establish is that, within its paired comparisons against both naive truncation and LLMLingua-2, sentence-level semantic selection is a better default for Arabic RAG at aggressive compression, and it reports that result, and only that result, without overstating it into a claim of superiority over every compression method in the literature.</w:t>
      </w:r>
    </w:p>
    <w:p>
      <w:pPr>
        <w:pStyle w:val="MDPI31text"/>
        <w:rPr/>
      </w:pPr>
      <w:r>
        <w:rPr/>
        <w:t xml:space="preserve">To state this decomposition as plainly as possible: the split-score-reassemble pruning mechanism itself is not algorithmically new and is not claimed as such anywhere in this paper; it is architecturally the same design DSLR already uses. What this paper adds falls into two other categories. The engineering integration is the dynamic controller that couples the compression ratio to vLLM's live KV-cache occupancy signal at request time, a serving-system coupling neither DSLR nor any other prior sentence-level pruning system implements. The empirical validation is everything in Section 4: the tokenization-disparity measurement connecting Arabic morphology to KV-cache cost specifically, the paired comparisons against naive truncation and against LLMLingua-2 on real Arabic RAG data, the corrected GPU serving benchmark, and the two controller ablations. A reader should therefore not take this paper as proposing a new pruning algorithm; it proposes an existing pruning mechanism's serving-aware integration, and validates both the mechanism and that integration on Arabic RAG specifically, which is where this paper's contribution actually lies.</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highlight w:val="yellow"/>
        </w:rPr>
        <w:t xml:space="preserve">Figure 1 shows LSPM's pipeline. A user query is embedded and matched against a vector database (Chroma) to retrieve a candidate passage pool. LSPM splits each retrieved passage into sentences using a generic, dependency-free regular-expression splitter that breaks on whitespace following a sentence-final punctuation mark (the Latin full stop and exclamation mark and the Arabic question mark U+061F, together with the ASCII question mark), with the Arabic comma U+060C deliberately excluded as a non-terminator and a bare-period fallback applied when no terminator is found; no morphological analyser is used, and in particular CAMeL Tools [42] is cited in Section 2 as part of the Arabic NLP ecosystem but is not a dependency of the released implementation. Because the splitter defines the unit over which the compression ratio r is applied, the same splitter is used for both LSPM and the naive-truncation baseline, so the two arms operate on an identical sentence segmentation.</w:t>
      </w:r>
    </w:p>
    <w:p>
      <w:pPr>
        <w:pStyle w:val="MDPI31text"/>
        <w:rPr/>
      </w:pPr>
      <w:r>
        <w:rPr>
          <w:highlight w:val="yellow"/>
        </w:rPr>
        <w:t xml:space="preserve">It then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none of this paper's quality or serving-cost results were reproduced on the BGE-reranker-v2-m3 backend or any other cross-encoder, so backend-to-backend variance in either scoring quality or scoring latency is not measured here and should not be assumed to be small (Section 5). This scoring step has a measured mean latency of 506.1 ms, single-request and CPU-only, over the same six-document candidate pool used in this paper's main baseline comparison (420 real measurements, Section 4.3); Section 4.11 reports the GPU-accelerated figure this same step produces when it runs on the same GPU as the vLLM server, inside a live concurrent-load benchmark. Every throughput/latency comparison in this paper that is described as "generation-only" (Sections 4.6, 5, and 6) reads contexts from a precomputed lookup and therefore measures the vLLM server's generation cost alone, excluding this 506.1 ms CPU cross-encoder cost; it is not an end-to-end online-serving measurement, and should not be read as one. The highest-scoring sentences are retained, in their original order, up to a target compression ratio r (the fraction of sentences kept), and reassembled into a compact context that is handed to the generator running behind a vLLM server.</w:t>
      </w:r>
    </w:p>
    <w:p>
      <w:pPr>
        <w:pStyle w:val="MDPI31text"/>
        <w:rPr/>
      </w:pPr>
      <w:r>
        <w:rPr>
          <w:highlight w:val="yellow"/>
        </w:rPr>
        <w:t xml:space="preserve">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exercised against live, time-varying traffic in two ablations (Section 4.7, fixed versus dynamic r under a ramping concurrency profile). The first confirms that the controller runs correctly and stably against a real server but did not generate enough KV-cache pressure to cross its high-load threshold, so it validated the controller's plumbing and stability without exercising its adaptive path. A second, redesigned ablation, using a deliberately constrained cache pool, subsequently drove occupancy to 99.2% and exercised the controller's full configured ratio range, confirming that the adaptive path does engage under real cache pressure. Neither ablation shows that adapting the ratio improves throughput, tail latency, or answer quality relative to a fixed ratio matched on average retained context; that comparison remains open and is identified explicitly as required future work (Section 5).</w:t>
      </w:r>
    </w:p>
    <w:p>
      <w:pPr>
        <w:pStyle w:val="MDPI31text"/>
        <w:rPr/>
      </w:pPr>
      <w:r>
        <w:rPr>
          <w:b/>
          <w:highlight w:val="yellow"/>
        </w:rPr>
        <w:t xml:space="preserve">Worked example. </w:t>
      </w:r>
      <w:r>
        <w:rPr>
          <w:highlight w:val="yellow"/>
        </w:rPr>
        <w:t xml:space="preserve">The following short example fixes every term used above to a concrete transformation, using one query and a four-sentence retrieved pool. Consider the query "متى تأسست جامعة بغداد؟" ("When was the University of Baghdad founded?") and a retrieved passage pool that splits into four sentences S1-S4 (shown below), given here in their original document order. Deliberately, the answer-bearing sentence is neither first in the document nor the sentence a positional heuristic would favor: S1 mentions Baghdad generally, S2 is an irrelevant population statistic, S3 states the founding year (the answer), and S4 lists unrelated faculties. The cross-encoder scores each sentence against the query independently, giving S1 = 0.65, S2 = 0.20, S3 = 0.93, and S4 = 0.08; note that the highest-scoring sentence, S3, is neither first nor second in the document.</w:t>
      </w:r>
    </w:p>
    <w:p>
      <w:pPr>
        <w:pStyle w:val="MDPI31text"/>
        <w:rPr/>
      </w:pPr>
      <w:r>
        <w:rPr>
          <w:highlight w:val="yellow"/>
        </w:rPr>
        <w:t xml:space="preserve">At a compression ratio r = 0.5 and N = 4 sentences, the number of sentences retained is k = max(1, round(r x N)) = max(1, round(2.0)) = 2. Ranking S1-S4 by score in descending order gives the sequence [S3 (0.93), S1 (0.65), S2 (0.20), S4 (0.08)]; the top k = 2 by this ranking are {S3, S1}. Critically, LSPM does not concatenate the kept sentences in score order (which would read S3 then S1): it restores their original document order before reassembly, so the pruned context is S1 followed by S3, exactly as they appeared in the source passage, and S2 and S4 are dropped. The generator then receives this two-sentence pruned context together with the query and answers "1957", the year contained in S3. Naive length-matched truncation, by contrast, keeps sentences by position rather than score: at the same r = 0.5 it keeps the first k = 2 sentences by position, {S1, S2}, which does not include S3 and therefore loses the year entirely -- this is the concrete case in which LSPM's content-conditioned cut outperforms a positional cut, not merely an illustration of the mechanism in the abstract. The sentence pool below also shows the outcome of this same ranking at two further ratios for comparison: at r = 0.3, k = max(1, round(1.2)) = 1 and only S3 survives under LSPM, again the correct answer-bearing sentence, whereas naive truncation at r = 0.3 keeps only S1 by position and again loses the answer; at r = 0.7, k = max(1, round(2.8)) = 3 and S1-S3 survive under both methods (S4 alone is dropped), so the two methods coincide at this least aggressive ratio.</w:t>
      </w:r>
    </w:p>
    <w:p>
      <w:pPr>
        <w:pStyle w:val="MDPI31text"/>
        <w:rPr/>
      </w:pPr>
      <w:r>
        <w:rPr/>
        <w:t xml:space="preserve">This illustrative sentence pool (not one of the paper's numbered results tables) makes the ranking and cutoff concrete:</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Pr>
                <w:highlight w:val="yellow"/>
              </w:rPr>
            </w:r>
            <w:r>
              <w:rPr>
                <w:rFonts w:ascii="Courier New" w:hAnsi="Courier New"/>
                <w:sz w:val="18"/>
                <w:highlight w:val="yellow"/>
              </w:rPr>
              <w:t>Sentence  Score  Kept@r=0.3  Kept@r=0.5  Kept@r=0.7   Content (English gloss)</w:t>
            </w:r>
          </w:p>
          <w:p>
            <w:pPr>
              <w:spacing w:before="0" w:after="0"/>
              <w:bidi w:val="0"/>
            </w:pPr>
            <w:r>
              <w:rPr>
                <w:rFonts w:ascii="Courier New" w:hAnsi="Courier New"/>
                <w:sz w:val="18"/>
                <w:highlight w:val="yellow"/>
              </w:rPr>
              <w:t xml:space="preserve">                  (k=1)       (k=2)       (k=3)</w:t>
            </w:r>
          </w:p>
          <w:p>
            <w:pPr>
              <w:spacing w:before="0" w:after="0"/>
              <w:bidi w:val="0"/>
            </w:pPr>
            <w:r>
              <w:rPr>
                <w:rFonts w:ascii="Courier New" w:hAnsi="Courier New"/>
                <w:sz w:val="18"/>
                <w:highlight w:val="yellow"/>
              </w:rPr>
              <w:t>S1        0.65    --          yes         yes    "Baghdad is Iraq's capital, located on</w:t>
            </w:r>
          </w:p>
          <w:p>
            <w:pPr>
              <w:spacing w:before="0" w:after="0"/>
              <w:bidi w:val="0"/>
            </w:pPr>
            <w:r>
              <w:rPr>
                <w:rFonts w:ascii="Courier New" w:hAnsi="Courier New"/>
                <w:sz w:val="18"/>
                <w:highlight w:val="yellow"/>
              </w:rPr>
              <w:t xml:space="preserve">                                                   the banks of the Tigris River."</w:t>
            </w:r>
          </w:p>
          <w:p>
            <w:pPr>
              <w:spacing w:before="0" w:after="0"/>
              <w:bidi w:val="0"/>
            </w:pPr>
            <w:r>
              <w:rPr>
                <w:rFonts w:ascii="Courier New" w:hAnsi="Courier New"/>
                <w:sz w:val="18"/>
                <w:highlight w:val="yellow"/>
              </w:rPr>
              <w:t>S2        0.20    --          --          yes    "Baghdad's population exceeds seven</w:t>
            </w:r>
          </w:p>
          <w:p>
            <w:pPr>
              <w:spacing w:before="0" w:after="0"/>
              <w:bidi w:val="0"/>
            </w:pPr>
            <w:r>
              <w:rPr>
                <w:rFonts w:ascii="Courier New" w:hAnsi="Courier New"/>
                <w:sz w:val="18"/>
                <w:highlight w:val="yellow"/>
              </w:rPr>
              <w:t xml:space="preserve">                                                   million."</w:t>
            </w:r>
          </w:p>
          <w:p>
            <w:pPr>
              <w:spacing w:before="0" w:after="0"/>
              <w:bidi w:val="0"/>
            </w:pPr>
            <w:r>
              <w:rPr>
                <w:rFonts w:ascii="Courier New" w:hAnsi="Courier New"/>
                <w:sz w:val="18"/>
                <w:highlight w:val="yellow"/>
              </w:rPr>
              <w:t>S3        0.93    yes         yes         yes    "...founded in 1957, becoming one of</w:t>
            </w:r>
          </w:p>
          <w:p>
            <w:pPr>
              <w:spacing w:before="0" w:after="0"/>
              <w:bidi w:val="0"/>
            </w:pPr>
            <w:r>
              <w:rPr>
                <w:rFonts w:ascii="Courier New" w:hAnsi="Courier New"/>
                <w:sz w:val="18"/>
                <w:highlight w:val="yellow"/>
              </w:rPr>
              <w:t xml:space="preserve">                                                   the most prominent Iraqi universities."</w:t>
            </w:r>
          </w:p>
          <w:p>
            <w:pPr>
              <w:spacing w:before="0" w:after="0"/>
              <w:bidi w:val="0"/>
            </w:pPr>
            <w:r>
              <w:rPr>
                <w:rFonts w:ascii="Courier New" w:hAnsi="Courier New"/>
                <w:sz w:val="18"/>
                <w:highlight w:val="yellow"/>
              </w:rPr>
              <w:t>S4        0.08    --          --          --     "The university includes several</w:t>
            </w:r>
          </w:p>
          <w:p>
            <w:pPr>
              <w:spacing w:before="0" w:after="0"/>
              <w:bidi w:val="0"/>
            </w:pPr>
            <w:r>
              <w:rPr>
                <w:rFonts w:ascii="Courier New" w:hAnsi="Courier New"/>
                <w:sz w:val="18"/>
                <w:highlight w:val="yellow"/>
              </w:rPr>
              <w:t xml:space="preserve">                                                   colleges, including engineering and medicine."</w:t>
            </w:r>
          </w:p>
        </w:tc>
      </w:tr>
    </w:tbl>
    <w:p>
      <w:pPr>
        <w:pStyle w:val="MDPI31text"/>
        <w:rPr/>
      </w:pPr>
      <w:r>
        <w:rPr/>
        <w:t xml:space="preserve">This example also illustrates why LSPM's advantage over naive truncation should be expected to grow as r shrinks (the mechanistic argument formalized in Section 3.2): a positional cut keeps whichever sentences happen to occupy the retained positions regardless of content, so it loses the answer at both r = 0.3 and r = 0.5 above, precisely because the answer-bearing sentence (S3) does not happen to occupy an early position in this retrieved pool; LSPM's cut is conditioned instead on the cross-encoder's relevance estimate, so an answer-bearing sentence anywhere in the pool, not only near the start, survives an aggressive cut as long as it scores highly enough, and the survivors are still returned to the generator in their original document order rather than in score order.</w:t>
      </w:r>
    </w:p>
    <w:p>
      <w:pPr>
        <w:pStyle w:val="MDPI31text"/>
        <w:rPr/>
      </w:pPr>
      <w:r>
        <w:rPr>
          <w:b/>
        </w:rPr>
        <w:t xml:space="preserve">Algorithm 1: LSPM pruning. </w:t>
      </w:r>
      <w:r>
        <w:rPr/>
        <w:t xml:space="preserve">The pseudocode below states the pruning step precisely. Terms: q is the user query (a string); D = (d_1, ..., d_m) is the ordered list of retrieved documents in retrieval-rank order; Split(d) returns d's sentences in their original within-document order (Section 3.1's whitespace/punctuation splitter); r in (0, 1] is the compression ratio (fraction of sentences retained); min_keep is a floor on the number of sentences kept (1 throughout this paper); CrossEncoder(q, s) returns a real-valued relevance score for sentence s against query q (higher is more relevant); round(.) is round-half-to-even; a stable sort is one that preserves the original relative order of elements with equal keys.</w:t>
      </w:r>
    </w:p>
    <w:p>
      <w:pPr>
        <w:pStyle w:val="MDPI41tablecaption"/>
        <w:rPr/>
      </w:pPr>
      <w:r>
        <w:rPr>
          <w:b/>
        </w:rPr>
        <w:t xml:space="preserve">Algorithm 1. LSPM-Prune(q, D, r, min_keep = 1): sentence-level semantic pruning with order-preserving reconstruction.</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query q; ordered documents D = (d_1, ..., d_m); ratio r in (0,1]; min_keep</w:t>
            </w:r>
          </w:p>
          <w:p>
            <w:pPr>
              <w:spacing w:before="0" w:after="0"/>
              <w:bidi w:val="0"/>
            </w:pPr>
            <w:r>
              <w:rPr>
                <w:rFonts w:ascii="Courier New" w:hAnsi="Courier New"/>
                <w:sz w:val="18"/>
              </w:rPr>
              <w:t>Output: pruned context string</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S &lt;- empty ordered list                    // every sentence, original order</w:t>
            </w:r>
          </w:p>
          <w:p>
            <w:pPr>
              <w:spacing w:before="0" w:after="0"/>
              <w:bidi w:val="0"/>
            </w:pPr>
            <w:r>
              <w:rPr>
                <w:rFonts w:ascii="Courier New" w:hAnsi="Courier New"/>
                <w:sz w:val="18"/>
              </w:rPr>
              <w:t>2:  for each document d in D (retrieval order):</w:t>
            </w:r>
          </w:p>
          <w:p>
            <w:pPr>
              <w:spacing w:before="0" w:after="0"/>
              <w:bidi w:val="0"/>
            </w:pPr>
            <w:r>
              <w:rPr>
                <w:rFonts w:ascii="Courier New" w:hAnsi="Courier New"/>
                <w:sz w:val="18"/>
              </w:rPr>
              <w:t>3:      for each sentence s in Split(d) (document order):</w:t>
            </w:r>
          </w:p>
          <w:p>
            <w:pPr>
              <w:spacing w:before="0" w:after="0"/>
              <w:bidi w:val="0"/>
            </w:pPr>
            <w:r>
              <w:rPr>
                <w:rFonts w:ascii="Courier New" w:hAnsi="Courier New"/>
                <w:sz w:val="18"/>
              </w:rPr>
              <w:t>4:          append s to S</w:t>
            </w:r>
          </w:p>
          <w:p>
            <w:pPr>
              <w:spacing w:before="0" w:after="0"/>
              <w:bidi w:val="0"/>
            </w:pPr>
            <w:r>
              <w:rPr>
                <w:rFonts w:ascii="Courier New" w:hAnsi="Courier New"/>
                <w:sz w:val="18"/>
              </w:rPr>
              <w:t>5:  N &lt;- |S|</w:t>
            </w:r>
          </w:p>
          <w:p>
            <w:pPr>
              <w:spacing w:before="0" w:after="0"/>
              <w:bidi w:val="0"/>
            </w:pPr>
            <w:r>
              <w:rPr>
                <w:rFonts w:ascii="Courier New" w:hAnsi="Courier New"/>
                <w:sz w:val="18"/>
              </w:rPr>
              <w:t>6:  for i &lt;- 1 .. N:  score[i] &lt;- CrossEncoder(q, S[i])</w:t>
            </w:r>
          </w:p>
          <w:p>
            <w:pPr>
              <w:spacing w:before="0" w:after="0"/>
              <w:bidi w:val="0"/>
            </w:pPr>
            <w:r>
              <w:rPr>
                <w:rFonts w:ascii="Courier New" w:hAnsi="Courier New"/>
                <w:sz w:val="18"/>
              </w:rPr>
              <w:t>7:  k &lt;- max(min_keep, round(r * N));  k &lt;- min(k, N)</w:t>
            </w:r>
          </w:p>
          <w:p>
            <w:pPr>
              <w:spacing w:before="0" w:after="0"/>
              <w:bidi w:val="0"/>
            </w:pPr>
            <w:r>
              <w:rPr>
                <w:rFonts w:ascii="Courier New" w:hAnsi="Courier New"/>
                <w:sz w:val="18"/>
              </w:rPr>
              <w:t>8:  rank &lt;- indices 1..N sorted by score[.] descending, stable</w:t>
            </w:r>
          </w:p>
          <w:p>
            <w:pPr>
              <w:spacing w:before="0" w:after="0"/>
              <w:bidi w:val="0"/>
            </w:pPr>
            <w:r>
              <w:rPr>
                <w:rFonts w:ascii="Courier New" w:hAnsi="Courier New"/>
                <w:sz w:val="18"/>
              </w:rPr>
              <w:t xml:space="preserve">                                    // ties keep earlier original index first</w:t>
            </w:r>
          </w:p>
          <w:p>
            <w:pPr>
              <w:spacing w:before="0" w:after="0"/>
              <w:bidi w:val="0"/>
            </w:pPr>
            <w:r>
              <w:rPr>
                <w:rFonts w:ascii="Courier New" w:hAnsi="Courier New"/>
                <w:sz w:val="18"/>
              </w:rPr>
              <w:t>9:  keep &lt;- first k indices of rank            // top-k by score</w:t>
            </w:r>
          </w:p>
          <w:p>
            <w:pPr>
              <w:spacing w:before="0" w:after="0"/>
              <w:bidi w:val="0"/>
            </w:pPr>
            <w:r>
              <w:rPr>
                <w:rFonts w:ascii="Courier New" w:hAnsi="Courier New"/>
                <w:sz w:val="18"/>
              </w:rPr>
              <w:t>10: S_pruned &lt;- [ S[i] for i in 1..N if i in keep ]   // restore ORIGINAL order</w:t>
            </w:r>
          </w:p>
          <w:p>
            <w:pPr>
              <w:spacing w:before="0" w:after="0"/>
              <w:bidi w:val="0"/>
            </w:pPr>
            <w:r>
              <w:rPr>
                <w:rFonts w:ascii="Courier New" w:hAnsi="Courier New"/>
                <w:sz w:val="18"/>
              </w:rPr>
              <w:t>11: context &lt;- Join(S_pruned, " ")</w:t>
            </w:r>
          </w:p>
          <w:p>
            <w:pPr>
              <w:spacing w:before="0" w:after="0"/>
              <w:bidi w:val="0"/>
            </w:pPr>
            <w:r>
              <w:rPr>
                <w:rFonts w:ascii="Courier New" w:hAnsi="Courier New"/>
                <w:sz w:val="18"/>
              </w:rPr>
              <w:t>12: return context</w:t>
            </w:r>
          </w:p>
        </w:tc>
      </w:tr>
    </w:tbl>
    <w:p>
      <w:pPr>
        <w:pStyle w:val="MDPI31text"/>
        <w:rPr/>
      </w:pPr>
      <w:r>
        <w:rPr>
          <w:b/>
        </w:rPr>
        <w:t xml:space="preserve">Algorithm 2: dynamic ratio controller. </w:t>
      </w:r>
      <w:r>
        <w:rPr/>
        <w:t xml:space="preserve">The optional controller of Section 3.1 maps live KV-cache occupancy to a ratio using the same r as Algorithm 1. Terms: usage in [0,1] is the current GPU KV-cache occupancy fraction, read from vLLM's /metrics endpoint (gpu_cache_usage_perc); r_min and r_max bound the returned ratio (0.20 and 0.80 throughout this paper, Section 3.5.3); theta_low and theta_high are the low- and high-load occupancy thresholds (0.25 and 0.75) between which the ratio is linearly interpolated; clamp(x, a, b) restricts x to [a, b].</w:t>
      </w:r>
    </w:p>
    <w:p>
      <w:pPr>
        <w:pStyle w:val="MDPI41tablecaption"/>
        <w:rPr/>
      </w:pPr>
      <w:r>
        <w:rPr>
          <w:b/>
        </w:rPr>
        <w:t xml:space="preserve">Algorithm 2. DynamicRatio(usage; r_min, r_max, theta_low, theta_high): occupancy-to-ratio mapping.</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usage in [0,1]; r_min, r_max; theta_low, theta_high  (theta_low &lt; theta_high)</w:t>
            </w:r>
          </w:p>
          <w:p>
            <w:pPr>
              <w:spacing w:before="0" w:after="0"/>
              <w:bidi w:val="0"/>
            </w:pPr>
            <w:r>
              <w:rPr>
                <w:rFonts w:ascii="Courier New" w:hAnsi="Courier New"/>
                <w:sz w:val="18"/>
              </w:rPr>
              <w:t>Output: r in [r_min, r_max]</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if usage &gt;= theta_high:  return r_min       // heavy load: prune aggressively</w:t>
            </w:r>
          </w:p>
          <w:p>
            <w:pPr>
              <w:spacing w:before="0" w:after="0"/>
              <w:bidi w:val="0"/>
            </w:pPr>
            <w:r>
              <w:rPr>
                <w:rFonts w:ascii="Courier New" w:hAnsi="Courier New"/>
                <w:sz w:val="18"/>
              </w:rPr>
              <w:t>2:  if usage &lt;= theta_low:   return r_max       // light load: keep richer context</w:t>
            </w:r>
          </w:p>
          <w:p>
            <w:pPr>
              <w:spacing w:before="0" w:after="0"/>
              <w:bidi w:val="0"/>
            </w:pPr>
            <w:r>
              <w:rPr>
                <w:rFonts w:ascii="Courier New" w:hAnsi="Courier New"/>
                <w:sz w:val="18"/>
              </w:rPr>
              <w:t>3:  frac &lt;- (usage - theta_low) / (theta_high - theta_low)</w:t>
            </w:r>
          </w:p>
          <w:p>
            <w:pPr>
              <w:spacing w:before="0" w:after="0"/>
              <w:bidi w:val="0"/>
            </w:pPr>
            <w:r>
              <w:rPr>
                <w:rFonts w:ascii="Courier New" w:hAnsi="Courier New"/>
                <w:sz w:val="18"/>
              </w:rPr>
              <w:t>4:  r &lt;- r_max - frac * (r_max - r_min)         // linear interpolation</w:t>
            </w:r>
          </w:p>
          <w:p>
            <w:pPr>
              <w:spacing w:before="0" w:after="0"/>
              <w:bidi w:val="0"/>
            </w:pPr>
            <w:r>
              <w:rPr>
                <w:rFonts w:ascii="Courier New" w:hAnsi="Courier New"/>
                <w:sz w:val="18"/>
              </w:rPr>
              <w:t>5:  return clamp(r, r_min, r_max)</w:t>
            </w:r>
          </w:p>
        </w:tc>
      </w:tr>
    </w:tbl>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Modern Standard Arabic (MSA)-English parallel corpus was tokenized with two contemporary tokenizers (Qwen2.5-7B-Instruct [66], Llama-3.1-8B-Instruct [67]),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approximately 1.76x-1.69x across the two tokenizers). The two are related but numerically distinct aggregation procedures. To state plainly which of them appears where: the Abstract quotes the per-pair figures (1.79x and 1.72x), and the Conclusions quote the aggregate figures (1.69x-1.76x).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[50]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This candidate-pool construction is deliberate and should be read precisely for what it tests: the gold paragraph's guaranteed presence and the five unrelated-article distractors remove retrieval failure and topical-similarity confusion as variables, isolating post-retrieval sentence selection as the object of study. This is easier than a realistic retrieval setting, where the gold passage may not be retrieved at all and surviving distractors are often topically similar rather than drawn from unrelated articles; the claim this design supports is accordingly scoped to post-retrieval selection quality under controlled candidate-pool construction, not to end-to-end RAG accuracy under realistic full-corpus retrieval with hard, topically similar negatives. Section 4.4's end-to-end check relaxes the retrieval-failure half of this by allowing a real TF-IDF retriever to miss the gold paragraph outright, but its 234-paragraph corpus and single lexical retriever do not yet supply the harder, topically similar negatives that a larger corpus or a BM25/dense/hybrid retriever would; that stronger evaluation remains open work (Section 5).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following the two one-sided tests procedure originally developed for bioequivalence testing [68] and its practical primer for behavioral and NLP-adjacent research [69], which we use here to distinguish a genuine null result (no evidence of a difference) from a positive finding that LSPM's pruned answer is statistically equivalent, within a pre-specified margin, to the unpruned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a token-budget-matched rerun, reporting actual prompt tokens entering the generator for every method and query, is identified as the single most important methodological correction needed before the comparison can be read as superiority at equal serving cost; Section 4.3 now reports those actual prompt-token counts, computed offline from the released artifacts, and the result is discussed there. All inferential tests in this paper use a two-sided alpha of 0.05, which is the level at which the Holm-Bonferroni family-wise correction, the 95% bootstrap confidence intervals, and the TOST equivalence tests reported below are all evaluated.</w:t>
      </w:r>
    </w:p>
    <w:p>
      <w:pPr>
        <w:pStyle w:val="MDPI31text"/>
        <w:rPr/>
      </w:pPr>
      <w:r>
        <w:rPr>
          <w:b/>
        </w:rPr>
        <w:t xml:space="preserve">Sample-size provenance and the earlier 40-question pilot. </w:t>
      </w:r>
      <w:r>
        <w:rPr/>
        <w:t xml:space="preserve">An earlier phase of this project ran the identical ARCD pipeline at n = 40 before the n = 140 re-test reported here, and the sample-size target for the larger run was derived from that pilot's observed effect size. The pilot's records were not lost, and its relationship to the 140-question sample is not independence: the 40 questions are exactly the first 40 questions of the 140. The sampling script (build_arcd_eval_set.py) seeds Python's random module with SEED = 42 and shuffles the full ARCD validation split before taking the first N distinct-article questions, so raising N from 40 to 140 extends the sample by appending rather than redrawing it. We verified this directly against the released artifacts: exactly 280 of the 980 rows in arcd_results.jsonl (40 questions x 7 conditions) carry question identifiers, and those identifiers are precisely the first 40 entries of arcd_eval_set.json. The 40 pilot questions are therefore a strict subset of the 140, not a disjoint pilot, and we state that explicitly rather than leave it to be inferred. Recomputing the pilot from those rows reproduces its reported outcome: at r = 0.3, 0.5, and 0.7 the paired LSPM-minus-naive token-F1 differences are +0.086, +0.083, and +0.084, none significant at n = 40 (Wilcoxon p = 0.171, 0.105, 0.094), with standardized paired effect sizes (Cohen's d for paired differences) of 0.248, 0.251, and 0.252; a conventional paired-sample power calculation at 80% power and two-sided alpha = 0.05 on those effect sizes returns approximately 126 to 131 questions, which is where n = 140 came from. Because that effect size was estimated from data that are themselves part of the confirmatory sample, this is an observed-power calculation, and the resulting sample-size justification is circular: computing power from an effect size observed in one's own data carries no additional information beyond the p-value already obtained and cannot be used to certify that a subsequent test was adequately powered [70]. We therefore withdraw the power calculation as a justification. The n = 140 re-test reported below should be read as a pragmatically chosen sample size, not a formally powered one, and because the decision to extend to 140 was taken after inspecting a subset of the same data, the re-test is a data-dependent continuation of the pilot rather than a fully independent confirmatory experiment. The practical consequence for interpretation is stated in Section 5.</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and controller ablation described in Sections 4.6 and 4.7 instead self-host the same model (bf16, --max-model-len 8192, served via the NousResearch mirror of the checkpoint to avoid the gated-repository dependency) under vLLM 0.28.0 on a single rented RTX 4090 (24 GiB). The server version and hardware for that run are recorded here from the authors' deployment record; the released per-cell artifacts capture the measurements but do not themselves embed a server version string, which we note rather than imply otherwise.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authors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authors take full responsibility for the accuracy of all claims, citations, and reported results in this paper.</w:t>
      </w:r>
    </w:p>
    <w:p>
      <w:pPr>
        <w:pStyle w:val="MDPI22heading2"/>
        <w:spacing w:before="240" w:after="60"/>
        <w:rPr/>
      </w:pPr>
      <w:r>
        <w:rPr/>
        <w:t xml:space="preserve">3.5. Protocols for the Extended Validation Studies (Sections 4.5-4.12)</w:t>
      </w:r>
    </w:p>
    <w:p>
      <w:pPr>
        <w:pStyle w:val="MDPI31text"/>
        <w:rPr/>
      </w:pPr>
      <w:r>
        <w:rPr/>
        <w:t xml:space="preserve">Beyond the core ARCD re-test above, this paper reports six further validation studies. To keep design decisions in Methods and outcomes in Results, this subsection specifies what each study did before Section 4 reports what each study found.</w:t>
      </w:r>
    </w:p>
    <w:p>
      <w:pPr>
        <w:pStyle w:val="MDPI31text"/>
        <w:rPr/>
      </w:pPr>
      <w:r>
        <w:rPr>
          <w:b/>
        </w:rPr>
        <w:t xml:space="preserve">3.5.1. Human evaluation protocol (results in Section 4.5). </w:t>
      </w:r>
      <w:r>
        <w:rPr/>
        <w:t xml:space="preserve">Two blind evaluators rated 90 answers drawn from the ARCD re-test generations, balanced as 30 answers per condition across raw (unpruned), LSPM at r = 0.3, and naive truncation at r = 0.3, with condition labels held in a private codebook so that raters saw only the question, the source context, the gold answer string(s), and the candidate answer. Correctness was rated on a three-point scale (0 = incorrect, 1 = partially correct, 2 = fully correct) and faithfulness on a binary scale (0 = not grounded in the provided context, 1 = grounded). Following the released protocol (HUMAN_EVAL_PROTOCOL.md), both raters are volunteer bilingual annotators who are not the authors and who took no part in building or evaluating the system, and both were kept unaware of the study's hypothesis; each rated all 90 items independently and without conferring, so neither rater saw the other's ratings. Disagreements were left unresolved by design rather than adjudicated.</w:t>
      </w:r>
    </w:p>
    <w:p>
      <w:pPr>
        <w:pStyle w:val="MDPI31text"/>
        <w:rPr/>
      </w:pPr>
      <w:r>
        <w:rPr>
          <w:b/>
        </w:rPr>
        <w:t xml:space="preserve">3.5.2. GPU benchmark protocol (results in Section 4.6). </w:t>
      </w:r>
      <w:r>
        <w:rPr/>
        <w:t xml:space="preserve">This benchmark measures what pruning costs, or saves, in real serving terms: request throughput, time-to-first-token, and KV-cache occupancy as a percentage of capacity, under controlled concurrent load. It is not a test of the analytical KV-cache projection of Section 4.3; that projection is denominated in bytes per request, whereas this benchmark reports occupancy as a fraction of the engine's total cache capacity. A Locust-based harness issued concurrent chat-completion requests against a self-hosted vLLM server (Llama-3.1-8B-Instruct, bf16, --max-model-len 8192) on a single rented RTX 4090. The design is a seven-by-five grid: seven context conditions (raw, i.e. unpruned; LSPM at r in {0.3, 0.5, 0.7}; and naive sentence-count-matched truncation at the same three ratios) crossed with five concurrency levels (1, 10, 25, 50, and 100 concurrent clients), giving 35 cells, each repeated three times, for 105 independent 90-second load-generation runs. Two confounds present in an earlier, exploratory run (now superseded; disposition in the Data Availability Statement) are removed by construction here: pruned contexts are precomputed offline (precompute_contexts.py) and looked up by key at request time, so no cross-encoder scoring runs inside the load generator for any method at any concurrency level; and all 105 cells are pooled and shuffled under a fixed seed before execution (run_full_sweep.py --repeats 3), so elapsed run time and warm-up state are decorrelated from method identity rather than confounded with it. One control this design calls for was not implemented in the released harness: the server is not restarted between blocks but runs continuously across the shuffled cell order, which randomizes rather than eliminates server-state drift; we disclose this gap rather than describe a control we did not exercise. Every cell is the mean of its three repeats with a 95% confidence interval computed from the t-distribution across repeats.</w:t>
      </w:r>
    </w:p>
    <w:p>
      <w:pPr>
        <w:pStyle w:val="MDPI31text"/>
        <w:rPr/>
      </w:pPr>
      <w:r>
        <w:rPr>
          <w:b/>
        </w:rPr>
        <w:t xml:space="preserve">3.5.3. Dynamic-controller ablation protocol, original and redesigned (results in Section 4.7). </w:t>
      </w:r>
      <w:r>
        <w:rPr/>
        <w:t xml:space="preserve">The dynamic compression-ratio controller of Section 3.1 was first exercised in a ramping-load ablation against the same self-hosted vLLM server: 60 s per step at 4, 8, 32, 32, 8, and 4 concurrent workers, six minutes per condition, run once with the ratio held constant at r = 0.5 and once with the controller re-polling vLLM's live /metrics endpoint before every request; full per-request logs (ratio used, KV-cache occupancy read at request time, TTFT, total latency) were preserved and released as results/controller_ablation. We identified two reasons this original design could under-stress the controller and corrected both for a redesigned run, disclosing the change rather than silently rerunning until a preferred result appeared: first, the original ablation used a small synthetic corpus (~240 tokens per context) rather than the realistic contexts this paper's own workload produces (mean 1,485.6 prompt tokens per request, Section 4.3); second, it ran against a server started at vLLM's default cache utilization (--gpu-memory-utilization ~0.9 on the 24 GiB card used throughout this paper), leaving a KV-cache pool large enough that even 32 concurrent requests barely dented it. The redesigned ablation (v2, results/controller_ablation_v2) uses the real 140-question ARCD context pool in place of the synthetic corpus, a higher concurrency ramp (six 90 s steps at 10, 30, 80, 80, 30, and 10 concurrent workers per condition), and a server deliberately started at --gpu-memory-utilization 0.3, a smaller cache pool chosen specifically to make the cache-pressure threshold reachable on a single rented GPU without requiring an unrealistic request volume. This is a disclosed methodological choice made to observe the controller's adaptive path at all, not a claim about a recommended production cache setting, and the two ablations are consequently not run under the same server configuration; only the redesigned run should be read as evidence about adaptive behaviour.</w:t>
      </w:r>
    </w:p>
    <w:p>
      <w:pPr>
        <w:pStyle w:val="MDPI31text"/>
        <w:rPr/>
      </w:pPr>
      <w:r>
        <w:rPr>
          <w:b/>
        </w:rPr>
        <w:t xml:space="preserve">3.5.4. Token-budget-matched rerun and LLMLingua-2 baseline protocols (results in Section 4.8). </w:t>
      </w:r>
      <w:r>
        <w:rPr/>
        <w:t xml:space="preserve">Section 4.3 identified the paper's single most important open methodological gap: LSPM and naive truncation were matched by retained sentence count, not retained token count, so the reported F1 advantage was not, by construction, a comparison at equal token budget. To close that gap directly, a new condition, naive_tokbudget, is given the same per-question token budget LSPM actually spent (computed per question from the offline replay of Section 4.3) and greedily retains whole sentences up to that budget without exceeding it, so it is matched to LSPM's realized cost rather than to its sentence count. Separately, to compare against a contemporary learned compressor, LLMLingua-2 [71] was added as a third context-construction method, run over the same retrieved document pool at the same three ratios, with its own compression budget verified against the same origin context.</w:t>
      </w:r>
    </w:p>
    <w:p>
      <w:pPr>
        <w:pStyle w:val="MDPI31text"/>
        <w:rPr/>
      </w:pPr>
      <w:r>
        <w:rPr>
          <w:b/>
        </w:rPr>
        <w:t xml:space="preserve">3.5.5. Qwen2.5 generalization-check protocol (results in Section 4.9). </w:t>
      </w:r>
      <w:r>
        <w:rPr/>
        <w:t xml:space="preserve">Every fidelity and quality result in Sections 4.2-4.7 uses a single instruction-tuned generator, Llama-3.1-8B-Instruct, leaving open whether the reported ranking of methods held for a different generator family (Section 5, item 5). We reran the ARCD ground-truth protocol of Section 4.3 in full against Qwen2.5-7B-Instruct [66], self-hosted under the same vLLM configuration used for the corrected GPU benchmark, on the identical 140 questions, same seven conditions, same cross-encoder, same Arabic-normalized scorer (score_arcd.py, see the methodological note in Section 4.8), producing 980 new generations.</w:t>
      </w:r>
    </w:p>
    <w:p>
      <w:pPr>
        <w:pStyle w:val="MDPI31text"/>
        <w:rPr/>
      </w:pPr>
      <w:r>
        <w:rPr>
          <w:b/>
        </w:rPr>
        <w:t xml:space="preserve">3.5.6. Fresh-seed disjoint replication protocol (results in Section 4.10). </w:t>
      </w:r>
      <w:r>
        <w:rPr/>
        <w:t xml:space="preserve">Section 3.4 and Section 5 both note a specific limitation of the n = 140 ARCD re-test: its sample size was derived from an internal 40-question pilot that is a strict subset of the same 140 questions, so the decision to extend to n = 140 was taken after inspecting a subset of the same data, making the reported result a data-dependent continuation of that pilot rather than an independently confirmed finding. To close that gap directly rather than merely disclose it, we ran a separate, independent replication. A new script (build_arcd_eval_set_replication.py) sampled 140 ARCD validation questions with a different random seed (2026, versus the original SEED = 42) and excluded every question identifier already present in the original 140-question set before sampling; a programmatic check confirmed zero overlap between the two id sets. These 140 fresh questions were evaluated under the identical protocol used in Section 4.3, restricted to the three conditions the central result concerns: raw (unpruned), LSPM at r = 0.3, and naive truncation at r = 0.3, against the same generator (Llama-3.1-8B-Instruct, the same NVIDIA NIM endpoint and prompt template), the same cross-encoder, and the same Arabic-normalized scorer (score_arcd.py, Section 4.8), producing 420 new live generations (140 questions x 3 conditions). The generator, retrieval mechanism, pruner, and scorer were held fixed deliberately: substituting a different generator family here would constitute a further generalization check of the kind already reported in Section 4.9, not a confirmation of the original finding.</w:t>
      </w:r>
    </w:p>
    <w:p>
      <w:pPr>
        <w:pStyle w:val="MDPI31text"/>
        <w:rPr/>
      </w:pPr>
      <w:r>
        <w:rPr>
          <w:b/>
          <w:highlight w:val="yellow"/>
        </w:rPr>
        <w:t xml:space="preserve">3.5.7. True end-to-end online serving benchmark protocol (results in Section 4.11). </w:t>
      </w:r>
      <w:r>
        <w:rPr>
          <w:highlight w:val="yellow"/>
        </w:rPr>
        <w:t xml:space="preserve">Section 4.6's GPU benchmark and every "generation-only" comparison in this paper (Sections 4.6, 5, and 6) read a precomputed, already-pruned context from a lookup table before generation, so none of them include the cross-encoder scoring cost quantified separately in Section 3.1. To close this gap, we ran a new script (benchmark/run_online_e2e_benchmark.py) against a live, self-hosted vLLM server (a single rented RTX 4090 with 48 GiB of VRAM; Section 4.11 reports the full hardware disclosure) that performs retrieval, cross-encoder scoring, and pruning inside the request path itself, immediately before each generation call, rather than reading an already-pruned context from a lookup. Three context conditions were tested: raw (unpruned), LSPM at a fixed ratio, and naive length-matched truncation at the same ratio, crossed with four concurrency levels (1, 5, 10, and 20 concurrent requests) and three compression ratios (r = 0.3, 0.5, 0.7), for 60 requests per (condition, concurrency, ratio) cell. For every cell we recorded the pruning step's own latency separately from time-to-first-token (TTFT), total request latency, and achieved throughput (requests/s and tokens/s), so the cost of scoring and pruning inside the live request path is visible rather than hidden inside a generation-only figure.</w:t>
      </w:r>
    </w:p>
    <w:p>
      <w:pPr>
        <w:pStyle w:val="MDPI31text"/>
        <w:rPr/>
      </w:pPr>
      <w:r>
        <w:rPr>
          <w:b/>
          <w:highlight w:val="yellow"/>
        </w:rPr>
        <w:t xml:space="preserve">3.5.8. Controller-versus-matched-fixed-ratio comparison protocol (results in Section 4.12). </w:t>
      </w:r>
      <w:r>
        <w:rPr>
          <w:highlight w:val="yellow"/>
        </w:rPr>
        <w:t xml:space="preserve">Section 4.7's redesigned ablation established that the dynamic ratio controller's adaptive path engages under real cache pressure (occupancy reaching 99.2%) but, because the dynamic and fixed arms were not matched on average retained context, could not show whether adapting the ratio outperforms a fixed one. To close that comparison directly, we ran a new script (scripts/run_controller_vs_matched_fixed.py) under the same deliberately constrained --gpu-memory-utilization cache pool as the redesigned ablation of Section 4.7, running two conditions back to back on the same RTX 4090 48 GiB card: "dynamic", in which the controller adjusts its ratio in response to live KV-cache occupancy exactly as in Section 4.7, and "matched_fixed", in which the ratio is held constant at the dynamic condition's own realized mean ratio for the run, so the two arms retain the same average amount of context. For every request in both conditions we logged the ratio in effect, the KV-cache occupancy at request time, TTFT, and total latency; the run was executed with the script's --skip-quality flag, so this comparison covers serving latency only and does not include an answer-quality comparison between the two conditions.</w:t>
      </w:r>
    </w:p>
    <w:p>
      <w:pPr>
        <w:pStyle w:val="MDPI52figure"/>
        <w:ind w:start="2608"/>
        <w:jc w:val="center"/>
        <w:rPr>
          <w:b/>
        </w:rPr>
      </w:pPr>
      <w:r>
        <w:drawing>
          <wp:inline xmlns:a="http://schemas.openxmlformats.org/drawingml/2006/main">
            <wp:extent cx="5486400" cy="15554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5554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The two aggregation procedures are quoted in different places in this paper and we identify them explicitly to prevent conflation: the Abstract quotes the per-pair means (1.79x and 1.72x), while the Conclusions quote the aggregate ratios (1.69x-1.76x). All 30 pairs are Modern Standard Arabic, so this measurement characterizes MSA specifically and not Arabic dialects (Section 5). The direction and rough magnitude of this gap are consistent with the cross-linguistic tokenizer-fertility literature [19], [20], [15]; what is added here is the specific pairing of tokenizers, corpus, and the downstream serving-cost consequence developed below.</w:t>
      </w:r>
    </w:p>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Tokenizer</w:t>
            </w:r>
          </w:p>
        </w:tc>
        <w:tc>
          <w:tcPr>
            <w:tcW w:type="dxa" w:w="2093"/>
            <w:tcBorders>
              <w:top w:val="single" w:sz="8" w:space="0" w:color="000000"/>
              <w:bottom w:val="single" w:sz="4" w:space="0" w:color="000000"/>
            </w:tcBorders>
          </w:tcPr>
          <w:p>
            <w:pPr>
              <w:pStyle w:val="MDPI42tablebody"/>
              <w:bidi w:val="0"/>
            </w:pPr>
            <w:r/>
            <w:r>
              <w:rPr>
                <w:b/>
                <w:sz w:val="20"/>
              </w:rPr>
              <w:t>Mean per-pair ratio</w:t>
            </w:r>
          </w:p>
        </w:tc>
        <w:tc>
          <w:tcPr>
            <w:tcW w:type="dxa" w:w="2093"/>
            <w:tcBorders>
              <w:top w:val="single" w:sz="8" w:space="0" w:color="000000"/>
              <w:bottom w:val="single" w:sz="4" w:space="0" w:color="000000"/>
            </w:tcBorders>
          </w:tcPr>
          <w:p>
            <w:pPr>
              <w:pStyle w:val="MDPI42tablebody"/>
              <w:bidi w:val="0"/>
            </w:pPr>
            <w:r/>
            <w:r>
              <w:rPr>
                <w:b/>
                <w:sz w:val="20"/>
              </w:rPr>
              <w:t>95% CI</w:t>
            </w:r>
          </w:p>
        </w:tc>
        <w:tc>
          <w:tcPr>
            <w:tcW w:type="dxa" w:w="2093"/>
            <w:tcBorders>
              <w:top w:val="single" w:sz="8" w:space="0" w:color="000000"/>
              <w:bottom w:val="single" w:sz="4" w:space="0" w:color="000000"/>
            </w:tcBorders>
          </w:tcPr>
          <w:p>
            <w:pPr>
              <w:pStyle w:val="MDPI42tablebody"/>
              <w:bidi w:val="0"/>
            </w:pPr>
            <w:r/>
            <w:r>
              <w:rPr>
                <w:b/>
                <w:sz w:val="20"/>
              </w:rPr>
              <w:t>Aggregate ratio</w:t>
            </w:r>
          </w:p>
        </w:tc>
        <w:tc>
          <w:tcPr>
            <w:tcW w:type="dxa" w:w="2093"/>
            <w:tcBorders>
              <w:top w:val="single" w:sz="8" w:space="0" w:color="000000"/>
              <w:bottom w:val="single" w:sz="4" w:space="0" w:color="000000"/>
            </w:tcBorders>
          </w:tcPr>
          <w:p>
            <w:pPr>
              <w:pStyle w:val="MDPI42tablebody"/>
              <w:bidi w:val="0"/>
            </w:pPr>
            <w:r/>
            <w:r>
              <w:rPr>
                <w:b/>
                <w:sz w:val="20"/>
              </w:rPr>
              <w:t>Bootstrap p</w:t>
            </w:r>
          </w:p>
        </w:tc>
      </w:tr>
      <w:tr>
        <w:tc>
          <w:tcPr>
            <w:tcW w:type="dxa" w:w="2093"/>
          </w:tcPr>
          <w:p>
            <w:pPr>
              <w:pStyle w:val="MDPI42tablebody"/>
              <w:bidi w:val="0"/>
            </w:pPr>
            <w:r/>
            <w:r>
              <w:rPr>
                <w:sz w:val="20"/>
              </w:rPr>
              <w:t>Qwen2.5-7B-Instruct</w:t>
            </w:r>
          </w:p>
        </w:tc>
        <w:tc>
          <w:tcPr>
            <w:tcW w:type="dxa" w:w="2093"/>
          </w:tcPr>
          <w:p>
            <w:pPr>
              <w:pStyle w:val="MDPI42tablebody"/>
              <w:bidi w:val="0"/>
            </w:pPr>
            <w:r/>
            <w:r>
              <w:rPr>
                <w:sz w:val="20"/>
              </w:rPr>
              <w:t>1.793</w:t>
            </w:r>
          </w:p>
        </w:tc>
        <w:tc>
          <w:tcPr>
            <w:tcW w:type="dxa" w:w="2093"/>
          </w:tcPr>
          <w:p>
            <w:pPr>
              <w:pStyle w:val="MDPI42tablebody"/>
              <w:bidi w:val="0"/>
            </w:pPr>
            <w:r/>
            <w:r>
              <w:rPr>
                <w:sz w:val="20"/>
              </w:rPr>
              <w:t>1.691-1.895</w:t>
            </w:r>
          </w:p>
        </w:tc>
        <w:tc>
          <w:tcPr>
            <w:tcW w:type="dxa" w:w="2093"/>
          </w:tcPr>
          <w:p>
            <w:pPr>
              <w:pStyle w:val="MDPI42tablebody"/>
              <w:bidi w:val="0"/>
            </w:pPr>
            <w:r/>
            <w:r>
              <w:rPr>
                <w:sz w:val="20"/>
              </w:rPr>
              <w:t>1.76x</w:t>
            </w:r>
          </w:p>
        </w:tc>
        <w:tc>
          <w:tcPr>
            <w:tcW w:type="dxa" w:w="2093"/>
          </w:tcPr>
          <w:p>
            <w:pPr>
              <w:pStyle w:val="MDPI42tablebody"/>
              <w:bidi w:val="0"/>
            </w:pPr>
            <w:r/>
            <w:r>
              <w:rPr>
                <w:sz w:val="20"/>
              </w:rPr>
              <w:t>&lt; 0.0001</w:t>
            </w:r>
          </w:p>
        </w:tc>
      </w:tr>
      <w:tr>
        <w:tc>
          <w:tcPr>
            <w:tcW w:type="dxa" w:w="2093"/>
            <w:tcBorders>
              <w:bottom w:val="single" w:sz="8" w:space="0" w:color="000000"/>
            </w:tcBorders>
          </w:tcPr>
          <w:p>
            <w:pPr>
              <w:pStyle w:val="MDPI42tablebody"/>
              <w:bidi w:val="0"/>
            </w:pPr>
            <w:r/>
            <w:r>
              <w:rPr>
                <w:sz w:val="20"/>
              </w:rPr>
              <w:t>Llama-3.1-8B-Instruct</w:t>
            </w:r>
          </w:p>
        </w:tc>
        <w:tc>
          <w:tcPr>
            <w:tcW w:type="dxa" w:w="2093"/>
            <w:tcBorders>
              <w:bottom w:val="single" w:sz="8" w:space="0" w:color="000000"/>
            </w:tcBorders>
          </w:tcPr>
          <w:p>
            <w:pPr>
              <w:pStyle w:val="MDPI42tablebody"/>
              <w:bidi w:val="0"/>
            </w:pPr>
            <w:r/>
            <w:r>
              <w:rPr>
                <w:sz w:val="20"/>
              </w:rPr>
              <w:t>1.717</w:t>
            </w:r>
          </w:p>
        </w:tc>
        <w:tc>
          <w:tcPr>
            <w:tcW w:type="dxa" w:w="2093"/>
            <w:tcBorders>
              <w:bottom w:val="single" w:sz="8" w:space="0" w:color="000000"/>
            </w:tcBorders>
          </w:tcPr>
          <w:p>
            <w:pPr>
              <w:pStyle w:val="MDPI42tablebody"/>
              <w:bidi w:val="0"/>
            </w:pPr>
            <w:r/>
            <w:r>
              <w:rPr>
                <w:sz w:val="20"/>
              </w:rPr>
              <w:t>1.613-1.820</w:t>
            </w:r>
          </w:p>
        </w:tc>
        <w:tc>
          <w:tcPr>
            <w:tcW w:type="dxa" w:w="2093"/>
            <w:tcBorders>
              <w:bottom w:val="single" w:sz="8" w:space="0" w:color="000000"/>
            </w:tcBorders>
          </w:tcPr>
          <w:p>
            <w:pPr>
              <w:pStyle w:val="MDPI42tablebody"/>
              <w:bidi w:val="0"/>
            </w:pPr>
            <w:r/>
            <w:r>
              <w:rPr>
                <w:sz w:val="20"/>
              </w:rPr>
              <w:t>1.69x</w:t>
            </w:r>
          </w:p>
        </w:tc>
        <w:tc>
          <w:tcPr>
            <w:tcW w:type="dxa" w:w="2093"/>
            <w:tcBorders>
              <w:bottom w:val="single" w:sz="8" w:space="0" w:color="000000"/>
            </w:tcBorders>
          </w:tcPr>
          <w:p>
            <w:pPr>
              <w:pStyle w:val="MDPI42tablebody"/>
              <w:bidi w:val="0"/>
            </w:pPr>
            <w:r/>
            <w:r>
              <w:rPr>
                <w:sz w:val="20"/>
              </w:rPr>
              <w:t>&lt; 0.0001</w:t>
            </w:r>
          </w:p>
        </w:tc>
      </w:tr>
    </w:tbl>
    <w:p>
      <w:pPr>
        <w:pStyle w:val="MDPI22heading2"/>
        <w:spacing w:before="240" w:after="60"/>
        <w:rPr/>
      </w:pPr>
      <w:r>
        <w:rPr/>
        <w:t xml:space="preserve">4.2. Fidelity Pilot</w:t>
      </w:r>
    </w:p>
    <w:p>
      <w:pPr>
        <w:pStyle w:val="MDPI31text"/>
        <w:rPr/>
      </w:pPr>
      <w:r>
        <w:rPr/>
        <w:t xml:space="preserve">On this small, low-redundancy pilot (n = 8), fidelity does not collapse even at the most aggressive ratio tested, and LSPM shows no statistically significant fidelity advantage over naive truncation at any ratio (all bootstrap p &gt; 0.2), motivating the larger ARCD re-test below. Full per-ratio ROUGE-L and BERTScore-F1 means and the character-reduction figure are reported in Table S1.</w:t>
      </w:r>
    </w:p>
    <w:p>
      <w:pPr>
        <w:pStyle w:val="MDPI22heading2"/>
        <w:spacing w:before="240" w:after="60"/>
        <w:rPr/>
      </w:pPr>
      <w:r>
        <w:rPr/>
        <w:t xml:space="preserve">4.3. ARCD Ground-Truth Re-Test</w:t>
      </w:r>
    </w:p>
    <w:p>
      <w:pPr>
        <w:pStyle w:val="MDPI31text"/>
        <w:rPr/>
      </w:pPr>
      <w:r>
        <w:rPr/>
        <w:t xml:space="preserve">ARCD's questions and source paragraphs are drawn from Arabic Wikipedia and are written in Modern Standard Arabic, so every result in this subsection is an MSA result and should be read as scoped to that variety (Section 5). All 140 questions produced a usable generation in all seven conditions (140 x 7 = 980 generations, zero failures, zero empty completions), so every paired comparison below is computed on the full n = 140 without exclusions. Table 2 reports per-condition means with 10,000-resample percentile bootstrap 95% confidence intervals for both scored metrics. The unpruned (raw) condition attains mean token-F1 0.666 (95% CI 0.612-0.718) and mean EM 0.293 (95% CI 0.221-0.371). At the most aggressive ratio tested, LSPM reaches F1 0.652 (0.596-0.707) and EM 0.314 (0.236-0.393) against naive truncation's F1 0.537 (0.474-0.600) and EM 0.250 (0.179-0.321); at r = 0.5 the corresponding values are F1 0.640 (0.582-0.695) for LSPM versus 0.576 (0.513-0.639) for truncation, and at r = 0.7 they are 0.665 (0.610-0.721) versus 0.604 (0.543-0.663).</w:t>
      </w:r>
    </w:p>
    <w:p>
      <w:pPr>
        <w:pStyle w:val="MDPI31text"/>
        <w:rPr/>
      </w:pPr>
      <w:r>
        <w:rPr/>
        <w:t xml:space="preserve">At r = 0.3, LSPM's mean token-F1 exceeds naive truncation's by 0.114, with a paired bootstrap 95% CI on the difference of +0.056 to +0.176 that excludes zero (Wilcoxon signed-rank raw p = 0.0008, Holm-Bonferroni-adjusted p = 0.0067); the paired EM difference at the same ratio is +0.064 (95% CI +0.007 to +0.121, Wilcoxon raw p = 0.029), consistent in direction with the F1 result. LSPM is statistically equivalent to the unpruned (raw) answer under TOST (n = 140, margin +/-0.05 F1, observed mean difference -0.014, p = 0.037), while naive truncation is significantly worse than raw (mean difference -0.129, 95% CI -0.185 to -0.073, raw p = 0.00008, adjusted p = 0.0007). At r = 0.5 and r = 0.7, the LSPM-vs-naive F1 differences are +0.064 (95% CI +0.004 to +0.124) and +0.061 (95% CI +0.012 to +0.112) and are nominally significant before correction (raw p = 0.031 and p = 0.022) but do not survive it (adjusted p = 0.126 and p = 0.115, respectively); the corresponding EM differences (+0.007 and +0.014) are not significant even uncorrected.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31text"/>
        <w:rPr/>
      </w:pPr>
      <w:r>
        <w:rPr/>
        <w:t xml:space="preserve">For auditability of the multiplicity correction, the nine-test family is the nine F1 contrasts formed by the three ratios crossed with the three method pairs; the full ordered list of all nine raw Wilcoxon p-values and their Holm-adjusted counterparts is reported in Table S2 so the correction step can be checked directly rather than taken on trust. The TOST equivalence tests reported above are run on the same data but are not members of this nine-test family and are reported uncorrected. We note explicitly that no standardized effect size (for example a rank-biserial correlation for the Wilcoxon tests) was computed by the released analysis pipeline, so the +0.114 figure should be read as an unstandardized mean paired difference with its bootstrap interval, not as an effect size; the absence of standardized effect sizes is recorded as a reporting limitation in Section 5.</w:t>
      </w:r>
    </w:p>
    <w:p>
      <w:pPr>
        <w:pStyle w:val="MDPI31text"/>
        <w:rPr/>
      </w:pPr>
      <w:r>
        <w:rPr>
          <w:b/>
        </w:rPr>
        <w:t xml:space="preserve">Prompt-token counts and the token-budget rival explanation. </w:t>
      </w:r>
      <w:r>
        <w:rPr/>
        <w:t xml:space="preserve">Because LSPM and naive truncation are matched by retained sentence count rather than retained token count (Section 3.4), a rival explanation for the r = 0.3 quality result is available: relevance-ranked sentences might simply be longer than the first sentences of the pool, so LSPM could have won by spending a larger token budget rather than by selecting better content. We tested that explanation directly. The prompts themselves were not stored in the released results file, but the pipeline that produced them is deterministic given the eval set and the cross-encoder, so we replayed it offline for all 980 cells and counted tokens with the generator's own tokenizer (Llama-3.1-8B-Instruct, non-gated NousResearch mirror, identical vocabulary), including the chat template and system prompt. The replay is verified rather than assumed: for all 980 cells the reconstructed context's character count and sentence count match the values the live run recorded at generation time, with zero mismatches. Mean prompt length is 1,485.6 tokens for the raw condition (median 1,423). At r = 0.3 LSPM's prompts average 481.9 tokens against naive truncation's 534.8, a paired difference of -52.9 tokens (95% CI -76.9 to -30.1, Wilcoxon p = 0.000064), so LSPM used about 10% fewer tokens than the baseline it beat. The same direction holds at the other two ratios: -60.1 tokens at r = 0.5 (95% CI -87.4 to -33.5) and -54.0 tokens at r = 0.7 (95% CI -77.0 to -31.7). The rival explanation is therefore not supported; if anything the token accounting runs against it, and the +0.114 F1 advantage at r = 0.3 was obtained at a strictly smaller prompt-token budget. Two qualifications keep this honest. First, the advantage is not uniform per question: LSPM's prompt is shorter than naive truncation's in 79 of 140 questions at r = 0.3 (91 of 140 at r = 0.5, 93 of 140 at r = 0.7), so the mean is driven by magnitude as well as by direction. Second, this is an observational reconciliation of the existing run, not the token-budget-matched rerun described in Section 5; it removes the specific rival explanation that LSPM won by spending more tokens, but it does not constitute an experiment in which both arms were held to an identical budget by construction.</w:t>
      </w:r>
    </w:p>
    <w:p>
      <w:pPr>
        <w:pStyle w:val="MDPI31text"/>
        <w:rPr/>
      </w:pPr>
      <w:r>
        <w:rPr>
          <w:b/>
        </w:rPr>
        <w:t xml:space="preserve">KV-cache footprint implied by the measured token reduction. </w:t>
      </w:r>
      <w:r>
        <w:rPr/>
        <w:t xml:space="preserve">These token counts also let the paper's KV-cache projection be computed from measured tokens rather than from a character-based approximation. For a grouped-query-attention decoder the per-token KV-cache footprint is the product of the number of layers, the number of key-value heads, the head dimension, a factor of two for the separate key and value tensors, and the bytes per element. For Llama-3.1-8B-Instruct as published (32 hidden layers, 8 key-value heads, hidden size 4,096 over 32 attention heads giving a head dimension of 128) served in bf16 (2 bytes per element), this is 2 x 32 x 8 x 128 x 2 = 131,072 bytes, i.e. exactly 128 KiB of KV cache per token. Multiplying by the per-request token reduction measured above gives, relative to the unpruned prompt, a saving of 125.5 MiB per request at r = 0.3 (95% CI 119.9-131.2), 92.3 MiB at r = 0.5 (87.6-97.0), and 57.4 MiB at r = 0.7 (54.2-60.6). This is substantially larger than a character-based approximation would suggest: converting the n = 8 fidelity pilot's mean character reduction to tokens through an assumed characters-per-token ratio would put the saving at only 9.7-19.1 MiB. That conversion is the wrong instrument for this paper in particular, since the paper's own tokenization finding is that the character-to-token relationship is exactly what behaves irregularly for Arabic; the figures above avoid it entirely by counting tokens directly. The projection remains analytical in the sense that matters: it is arithmetic on measured token counts, not an observed reduction in GPU memory, and the benchmark of Section 4.6 never entered the cache-pressure regime in which such a saving would translate into a serving benefit (Section 5).</w:t>
      </w:r>
    </w:p>
    <w:p>
      <w:pPr>
        <w:pStyle w:val="MDPI41tablecaption"/>
        <w:rPr/>
      </w:pPr>
      <w:r>
        <w:rPr>
          <w:b/>
        </w:rPr>
        <w:t xml:space="preserve">Table 2. Per-condition means for the ARCD ground-truth re-test (n = 140 questions per condition, 980 generations total). EM is Arabic-normalized Exact Match and F1 is Arabic-normalized token-F1, both scored against ARCD's gold answer strings.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0.666</w:t>
            </w:r>
          </w:p>
        </w:tc>
        <w:tc>
          <w:tcPr>
            <w:tcW w:type="dxa" w:w="2093"/>
          </w:tcPr>
          <w:p>
            <w:pPr>
              <w:pStyle w:val="MDPI42tablebody"/>
              <w:bidi w:val="0"/>
            </w:pPr>
            <w:r/>
            <w:r>
              <w:rPr>
                <w:sz w:val="20"/>
              </w:rPr>
              <w:t>0.612-0.718</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0.652</w:t>
            </w:r>
          </w:p>
        </w:tc>
        <w:tc>
          <w:tcPr>
            <w:tcW w:type="dxa" w:w="2093"/>
          </w:tcPr>
          <w:p>
            <w:pPr>
              <w:pStyle w:val="MDPI42tablebody"/>
              <w:bidi w:val="0"/>
            </w:pPr>
            <w:r/>
            <w:r>
              <w:rPr>
                <w:sz w:val="20"/>
              </w:rPr>
              <w:t>0.596-0.707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0.250</w:t>
            </w:r>
          </w:p>
        </w:tc>
        <w:tc>
          <w:tcPr>
            <w:tcW w:type="dxa" w:w="2093"/>
          </w:tcPr>
          <w:p>
            <w:pPr>
              <w:pStyle w:val="MDPI42tablebody"/>
              <w:bidi w:val="0"/>
            </w:pPr>
            <w:r/>
            <w:r>
              <w:rPr>
                <w:sz w:val="20"/>
              </w:rPr>
              <w:t>0.179-0.321</w:t>
            </w:r>
          </w:p>
        </w:tc>
        <w:tc>
          <w:tcPr>
            <w:tcW w:type="dxa" w:w="2093"/>
          </w:tcPr>
          <w:p>
            <w:pPr>
              <w:pStyle w:val="MDPI42tablebody"/>
              <w:bidi w:val="0"/>
            </w:pPr>
            <w:r/>
            <w:r>
              <w:rPr>
                <w:sz w:val="20"/>
              </w:rPr>
              <w:t>0.537</w:t>
            </w:r>
          </w:p>
        </w:tc>
        <w:tc>
          <w:tcPr>
            <w:tcW w:type="dxa" w:w="2093"/>
          </w:tcPr>
          <w:p>
            <w:pPr>
              <w:pStyle w:val="MDPI42tablebody"/>
              <w:bidi w:val="0"/>
            </w:pPr>
            <w:r/>
            <w:r>
              <w:rPr>
                <w:sz w:val="20"/>
              </w:rPr>
              <w:t>0.474-0.600</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0.640</w:t>
            </w:r>
          </w:p>
        </w:tc>
        <w:tc>
          <w:tcPr>
            <w:tcW w:type="dxa" w:w="2093"/>
          </w:tcPr>
          <w:p>
            <w:pPr>
              <w:pStyle w:val="MDPI42tablebody"/>
              <w:bidi w:val="0"/>
            </w:pPr>
            <w:r/>
            <w:r>
              <w:rPr>
                <w:sz w:val="20"/>
              </w:rPr>
              <w:t>0.582-0.695</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0.576</w:t>
            </w:r>
          </w:p>
        </w:tc>
        <w:tc>
          <w:tcPr>
            <w:tcW w:type="dxa" w:w="2093"/>
          </w:tcPr>
          <w:p>
            <w:pPr>
              <w:pStyle w:val="MDPI42tablebody"/>
              <w:bidi w:val="0"/>
            </w:pPr>
            <w:r/>
            <w:r>
              <w:rPr>
                <w:sz w:val="20"/>
              </w:rPr>
              <w:t>0.513-0.639</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0.665</w:t>
            </w:r>
          </w:p>
        </w:tc>
        <w:tc>
          <w:tcPr>
            <w:tcW w:type="dxa" w:w="2093"/>
          </w:tcPr>
          <w:p>
            <w:pPr>
              <w:pStyle w:val="MDPI42tablebody"/>
              <w:bidi w:val="0"/>
            </w:pPr>
            <w:r/>
            <w:r>
              <w:rPr>
                <w:sz w:val="20"/>
              </w:rPr>
              <w:t>0.610-0.721</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0.286</w:t>
            </w:r>
          </w:p>
        </w:tc>
        <w:tc>
          <w:tcPr>
            <w:tcW w:type="dxa" w:w="2093"/>
            <w:tcBorders>
              <w:bottom w:val="single" w:sz="8" w:space="0" w:color="000000"/>
            </w:tcBorders>
          </w:tcPr>
          <w:p>
            <w:pPr>
              <w:pStyle w:val="MDPI42tablebody"/>
              <w:bidi w:val="0"/>
            </w:pPr>
            <w:r/>
            <w:r>
              <w:rPr>
                <w:sz w:val="20"/>
              </w:rPr>
              <w:t>0.214-0.364</w:t>
            </w:r>
          </w:p>
        </w:tc>
        <w:tc>
          <w:tcPr>
            <w:tcW w:type="dxa" w:w="2093"/>
            <w:tcBorders>
              <w:bottom w:val="single" w:sz="8" w:space="0" w:color="000000"/>
            </w:tcBorders>
          </w:tcPr>
          <w:p>
            <w:pPr>
              <w:pStyle w:val="MDPI42tablebody"/>
              <w:bidi w:val="0"/>
            </w:pPr>
            <w:r/>
            <w:r>
              <w:rPr>
                <w:sz w:val="20"/>
              </w:rPr>
              <w:t>0.604</w:t>
            </w:r>
          </w:p>
        </w:tc>
        <w:tc>
          <w:tcPr>
            <w:tcW w:type="dxa" w:w="2093"/>
            <w:tcBorders>
              <w:bottom w:val="single" w:sz="8" w:space="0" w:color="000000"/>
            </w:tcBorders>
          </w:tcPr>
          <w:p>
            <w:pPr>
              <w:pStyle w:val="MDPI42tablebody"/>
              <w:bidi w:val="0"/>
            </w:pPr>
            <w:r/>
            <w:r>
              <w:rPr>
                <w:sz w:val="20"/>
              </w:rPr>
              <w:t>0.543-0.663</w:t>
            </w:r>
          </w:p>
        </w:tc>
      </w:tr>
    </w:tbl>
    <w:p>
      <w:pPr>
        <w:pStyle w:val="MDPI22heading2"/>
        <w:spacing w:before="240" w:after="60"/>
        <w:rPr/>
      </w:pPr>
      <w:r>
        <w:rPr/>
        <w:t xml:space="preserve">4.4. End-to-End Retrieval Check</w:t>
      </w:r>
    </w:p>
    <w:p>
      <w:pPr>
        <w:pStyle w:val="MDPI31text"/>
        <w:rPr/>
      </w:pPr>
      <w:r>
        <w:rPr/>
        <w:t xml:space="preserve">This check uses an independent sample of n = 60 ARCD questions (seed = 123), each answered under three conditions (raw, LSPM at r = 0.3, naive truncation at r = 0.3) against the top six documents returned by a real TF-IDF retriever over a 234-paragraph corpus. Retrieval succeeds for 52/60 questions and fails for 8/60 (recall@6 = 86.7%, so retrieval can fail, unlike the answer-guaranteed ARCD pool above), and this retriever reproduces the same directional advantage: across all n = 60 questions, mean EM is 0.233 (95% CI 0.133-0.350) for LSPM, 0.167 (0.083-0.267) for raw, and 0.133 (0.050-0.233) for naive truncation, and mean F1 is 0.582 (95% CI 0.491-0.672) for LSPM, 0.561 (0.468-0.652) for raw, and 0.525 (0.435-0.612) for naive truncation. The paired LSPM advantage over naive truncation is EM +0.100 (95% CI +0.033 to +0.183, Wilcoxon p = 0.014) and F1 +0.056 (95% CI -0.017 to +0.134, Wilcoxon p = 0.085); the F1 interval includes zero, so at this smaller sample only the EM difference is significant, and these p-values are reported uncorrected and are not members of the nine-test family of Section 4.3.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Under the protocol of Section 3.5.1, inter-rater agreement was substantial to near-perfect (Cohen's kappa 0.79 for correctness and 0.94 for faithfulness), which is what makes the means reported below meaningful: neither rater saw the other's ratings during scoring.</w:t>
      </w:r>
    </w:p>
    <w:p>
      <w:pPr>
        <w:pStyle w:val="MDPI31text"/>
        <w:rPr/>
      </w:pPr>
      <w:r>
        <w:rPr/>
        <w:t xml:space="preserve">On the merged ratings, mean correctness is 1.80 (95% CI 1.58-1.95) for LSPM, 1.72 (1.47-1.92) for raw, and 1.55 (1.25-1.82) for naive truncation, and mean faithfulness is 0.98 (95% CI 0.95-1.00) for LSPM, 0.93 (0.83-1.00) for raw, and 0.80 (0.63-0.93) for naive truncation (n = 30 per condition; intervals are 10,000-resample percentile bootstrap intervals, seed = 42). The ordering therefore places LSPM at least as high as raw and above naive truncation on both dimensions, consistent in direction with the automatic-metric result above. We report these as descriptive means with intervals and do not attach a significance test to them: at n = 30 per cell the intervals for LSPM and raw overlap substantially, and the human evaluation is offered as directional corroboration of the r = 0.3 comparison rather than as an independent confirmatory test of it.</w:t>
      </w:r>
    </w:p>
    <w:p>
      <w:pPr>
        <w:pStyle w:val="MDPI22heading2"/>
        <w:spacing w:before="240" w:after="60"/>
        <w:rPr/>
      </w:pPr>
      <w:r>
        <w:rPr/>
        <w:t xml:space="preserve">4.6. GPU Benchmark Under the Corrected, Repeated Protocol</w:t>
      </w:r>
    </w:p>
    <w:p>
      <w:pPr>
        <w:pStyle w:val="MDPI31text"/>
        <w:rPr/>
      </w:pPr>
      <w:r>
        <w:rPr/>
        <w:t xml:space="preserve">Executed under the protocol of Section 3.5.2, the full 35-cell, three-repeat grid completed with 191,652 completed requests and zero request failures. The per-cell raw artifacts (Locust statistics and per-second /metrics scrapes) are preserved and released, and the aggregate reported here is recomputable from them by the released analysis script. As reported later in this subsection, the workload never approached the cache-pressure regime in which the analytical KV-cache projection of Section 4.3's per-request byte saving would translate into a serving benefit.</w:t>
      </w:r>
    </w:p>
    <w:p>
      <w:pPr>
        <w:pStyle w:val="MDPI31text"/>
        <w:rPr/>
      </w:pPr>
      <w:r>
        <w:rPr>
          <w:highlight w:val="yellow"/>
        </w:rPr>
        <w:t xml:space="preserve">At moderate load the seven conditions are close but not uniformly indistinguishable, and we report the full c = 10 row set (Table 3) so that the claim can be checked rather than taken on trust. Median time-to-first-token at c = 10 spans 50.0 to 52.7 ms, and with per-cell half-widths up to +/-3.8 ms all 21 pairwise TTFT comparisons have overlapping intervals; on that measure the seven conditions are indeed indistinguishable. Throughput is not. It spans 5.28 to 6.49 req/s, and 7 of the 21 pairs have non-overlapping 95% intervals. Six of those seven involve naive truncation at r = 0.3, which at 5.28 +/- 0.23 req/s is separated from every other condition in the grid, including raw (6.09 +/- 0.18), all three LSPM ratios (6.16 +/- 0.19, 5.98 +/- 0.28, 6.06 +/- 0.13), and naive truncation at r = 0.5 (6.49 +/- 0.27) and r = 0.7 (5.99 +/- 0.47). The seventh is LSPM at r = 0.7 against naive truncation at r = 0.5, whose intervals miss each other narrowly (6.198 against 6.220 at the adjacent bounds). The accurate statement is therefore that at c = 10 the only condition clearly separated from the field is naive truncation at the most aggressive ratio, which is the same condition that is clearly worst at c = 100, and that LSPM is statistically indistinguishable from unpruned serving at this concurrency level on both throughput and TTFT. At c = 100 (Table 4), LSPM at r = 0.3 reaches 55.7 +/- 0.5 req/s against raw's 54.1 +/- 0.5 and naive truncation's 46.7 +/- 1.1 at the same ratio, and median TTFT is 63.7 +/- 1.4 ms for LSPM r = 0.3, 66.7 +/- 2.9 ms for raw, and 68.3 +/- 2.9 ms for naive r = 0.3 (p95 TTFT 80.7, 84.0, and 86.7 ms respectively). LSPM at r = 0.5 and r = 0.7 (53.9 +/- 0.3 and 54.5 +/- 0.3 req/s) is indistinguishable from raw. Across the full grid (Figure 2 plots throughput, median TTFT, and mean KV-cache occupancy against concurrency for all seven conditions), LSPM's throughput is within 3% of raw at every concurrency level tested and slightly above it at c = 100; the 8.5-11.9% throughput deficit that the earlier, confounded exploratory run had attributed to LSPM does not survive removal of the load-generator scoring cost, which is consistent with that deficit having been an artifact of the confound rather than a property of the method. We do not, however, report the grid as a clean LSPM-over-naive ordering, because it is not one: naive truncation at r = 0.5 attains the highest throughput of any condition at c = 100 (59.6 +/- 1.1 req/s). What the sweep supports is the narrower claim that semantic pruning imposes no measurable throughput or TTFT penalty relative to unpruned serving on this hardware, generation-only as scoped in Section 3.1, and that the one condition clearly worse than all others at high load is naive truncation at the most aggressive ratio.</w:t>
      </w:r>
    </w:p>
    <w:p>
      <w:pPr>
        <w:pStyle w:val="MDPI41tablecaption"/>
        <w:rPr/>
      </w:pPr>
      <w:r>
        <w:rPr>
          <w:b/>
        </w:rPr>
        <w:t xml:space="preserve">Table 3. GPU benchmark at moderate concurrency (c = 10 concurrent clients), reported in full so that the overlap statements in the text are checkable. Same server, model, and protocol as Table 4. Each entry is the mean of three independent 90-second repeats with a 95% confidence interval computed from the t-distribution across repeats; 10,989 requests across these seven cells, zero failures. KV columns are percentages of total KV-cache capacity.</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6.09 +/- 0.18</w:t>
            </w:r>
          </w:p>
        </w:tc>
        <w:tc>
          <w:tcPr>
            <w:tcW w:type="dxa" w:w="1744"/>
          </w:tcPr>
          <w:p>
            <w:pPr>
              <w:pStyle w:val="MDPI42tablebody"/>
              <w:bidi w:val="0"/>
            </w:pPr>
            <w:r/>
            <w:r>
              <w:rPr>
                <w:sz w:val="20"/>
              </w:rPr>
              <w:t>52.3 +/- 2.9</w:t>
            </w:r>
          </w:p>
        </w:tc>
        <w:tc>
          <w:tcPr>
            <w:tcW w:type="dxa" w:w="1744"/>
          </w:tcPr>
          <w:p>
            <w:pPr>
              <w:pStyle w:val="MDPI42tablebody"/>
              <w:bidi w:val="0"/>
            </w:pPr>
            <w:r/>
            <w:r>
              <w:rPr>
                <w:sz w:val="20"/>
              </w:rPr>
              <w:t>62.3 +/- 2.9</w:t>
            </w:r>
          </w:p>
        </w:tc>
        <w:tc>
          <w:tcPr>
            <w:tcW w:type="dxa" w:w="1744"/>
          </w:tcPr>
          <w:p>
            <w:pPr>
              <w:pStyle w:val="MDPI42tablebody"/>
              <w:bidi w:val="0"/>
            </w:pPr>
            <w:r/>
            <w:r>
              <w:rPr>
                <w:sz w:val="20"/>
              </w:rPr>
              <w:t>0.56 +/- 0.04</w:t>
            </w:r>
          </w:p>
        </w:tc>
        <w:tc>
          <w:tcPr>
            <w:tcW w:type="dxa" w:w="1744"/>
          </w:tcPr>
          <w:p>
            <w:pPr>
              <w:pStyle w:val="MDPI42tablebody"/>
              <w:bidi w:val="0"/>
            </w:pPr>
            <w:r/>
            <w:r>
              <w:rPr>
                <w:sz w:val="20"/>
              </w:rPr>
              <w:t>0.96 +/- 0.05</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6.16 +/- 0.19</w:t>
            </w:r>
          </w:p>
        </w:tc>
        <w:tc>
          <w:tcPr>
            <w:tcW w:type="dxa" w:w="1744"/>
          </w:tcPr>
          <w:p>
            <w:pPr>
              <w:pStyle w:val="MDPI42tablebody"/>
              <w:bidi w:val="0"/>
            </w:pPr>
            <w:r/>
            <w:r>
              <w:rPr>
                <w:sz w:val="20"/>
              </w:rPr>
              <w:t>50.0 +/- 2.5</w:t>
            </w:r>
          </w:p>
        </w:tc>
        <w:tc>
          <w:tcPr>
            <w:tcW w:type="dxa" w:w="1744"/>
          </w:tcPr>
          <w:p>
            <w:pPr>
              <w:pStyle w:val="MDPI42tablebody"/>
              <w:bidi w:val="0"/>
            </w:pPr>
            <w:r/>
            <w:r>
              <w:rPr>
                <w:sz w:val="20"/>
              </w:rPr>
              <w:t>59.3 +/- 1.4</w:t>
            </w:r>
          </w:p>
        </w:tc>
        <w:tc>
          <w:tcPr>
            <w:tcW w:type="dxa" w:w="1744"/>
          </w:tcPr>
          <w:p>
            <w:pPr>
              <w:pStyle w:val="MDPI42tablebody"/>
              <w:bidi w:val="0"/>
            </w:pPr>
            <w:r/>
            <w:r>
              <w:rPr>
                <w:sz w:val="20"/>
              </w:rPr>
              <w:t>0.44 +/- 0.09</w:t>
            </w:r>
          </w:p>
        </w:tc>
        <w:tc>
          <w:tcPr>
            <w:tcW w:type="dxa" w:w="1744"/>
          </w:tcPr>
          <w:p>
            <w:pPr>
              <w:pStyle w:val="MDPI42tablebody"/>
              <w:bidi w:val="0"/>
            </w:pPr>
            <w:r/>
            <w:r>
              <w:rPr>
                <w:sz w:val="20"/>
              </w:rPr>
              <w:t>1.10 +/- 0.05</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5.28 +/- 0.23</w:t>
            </w:r>
          </w:p>
        </w:tc>
        <w:tc>
          <w:tcPr>
            <w:tcW w:type="dxa" w:w="1744"/>
          </w:tcPr>
          <w:p>
            <w:pPr>
              <w:pStyle w:val="MDPI42tablebody"/>
              <w:bidi w:val="0"/>
            </w:pPr>
            <w:r/>
            <w:r>
              <w:rPr>
                <w:sz w:val="20"/>
              </w:rPr>
              <w:t>52.7 +/- 1.4</w:t>
            </w:r>
          </w:p>
        </w:tc>
        <w:tc>
          <w:tcPr>
            <w:tcW w:type="dxa" w:w="1744"/>
          </w:tcPr>
          <w:p>
            <w:pPr>
              <w:pStyle w:val="MDPI42tablebody"/>
              <w:bidi w:val="0"/>
            </w:pPr>
            <w:r/>
            <w:r>
              <w:rPr>
                <w:sz w:val="20"/>
              </w:rPr>
              <w:t>62.0 +/- 2.5</w:t>
            </w:r>
          </w:p>
        </w:tc>
        <w:tc>
          <w:tcPr>
            <w:tcW w:type="dxa" w:w="1744"/>
          </w:tcPr>
          <w:p>
            <w:pPr>
              <w:pStyle w:val="MDPI42tablebody"/>
              <w:bidi w:val="0"/>
            </w:pPr>
            <w:r/>
            <w:r>
              <w:rPr>
                <w:sz w:val="20"/>
              </w:rPr>
              <w:t>0.59 +/- 0.04</w:t>
            </w:r>
          </w:p>
        </w:tc>
        <w:tc>
          <w:tcPr>
            <w:tcW w:type="dxa" w:w="1744"/>
          </w:tcPr>
          <w:p>
            <w:pPr>
              <w:pStyle w:val="MDPI42tablebody"/>
              <w:bidi w:val="0"/>
            </w:pPr>
            <w:r/>
            <w:r>
              <w:rPr>
                <w:sz w:val="20"/>
              </w:rPr>
              <w:t>1.60 +/- 0.65</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5.98 +/- 0.28</w:t>
            </w:r>
          </w:p>
        </w:tc>
        <w:tc>
          <w:tcPr>
            <w:tcW w:type="dxa" w:w="1744"/>
          </w:tcPr>
          <w:p>
            <w:pPr>
              <w:pStyle w:val="MDPI42tablebody"/>
              <w:bidi w:val="0"/>
            </w:pPr>
            <w:r/>
            <w:r>
              <w:rPr>
                <w:sz w:val="20"/>
              </w:rPr>
              <w:t>51.3 +/- 1.4</w:t>
            </w:r>
          </w:p>
        </w:tc>
        <w:tc>
          <w:tcPr>
            <w:tcW w:type="dxa" w:w="1744"/>
          </w:tcPr>
          <w:p>
            <w:pPr>
              <w:pStyle w:val="MDPI42tablebody"/>
              <w:bidi w:val="0"/>
            </w:pPr>
            <w:r/>
            <w:r>
              <w:rPr>
                <w:sz w:val="20"/>
              </w:rPr>
              <w:t>60.3 +/- 3.8</w:t>
            </w:r>
          </w:p>
        </w:tc>
        <w:tc>
          <w:tcPr>
            <w:tcW w:type="dxa" w:w="1744"/>
          </w:tcPr>
          <w:p>
            <w:pPr>
              <w:pStyle w:val="MDPI42tablebody"/>
              <w:bidi w:val="0"/>
            </w:pPr>
            <w:r/>
            <w:r>
              <w:rPr>
                <w:sz w:val="20"/>
              </w:rPr>
              <w:t>0.51 +/- 0.07</w:t>
            </w:r>
          </w:p>
        </w:tc>
        <w:tc>
          <w:tcPr>
            <w:tcW w:type="dxa" w:w="1744"/>
          </w:tcPr>
          <w:p>
            <w:pPr>
              <w:pStyle w:val="MDPI42tablebody"/>
              <w:bidi w:val="0"/>
            </w:pPr>
            <w:r/>
            <w:r>
              <w:rPr>
                <w:sz w:val="20"/>
              </w:rPr>
              <w:t>1.18 +/- 0.30</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6.49 +/- 0.27</w:t>
            </w:r>
          </w:p>
        </w:tc>
        <w:tc>
          <w:tcPr>
            <w:tcW w:type="dxa" w:w="1744"/>
          </w:tcPr>
          <w:p>
            <w:pPr>
              <w:pStyle w:val="MDPI42tablebody"/>
              <w:bidi w:val="0"/>
            </w:pPr>
            <w:r/>
            <w:r>
              <w:rPr>
                <w:sz w:val="20"/>
              </w:rPr>
              <w:t>50.7 +/- 3.8</w:t>
            </w:r>
          </w:p>
        </w:tc>
        <w:tc>
          <w:tcPr>
            <w:tcW w:type="dxa" w:w="1744"/>
          </w:tcPr>
          <w:p>
            <w:pPr>
              <w:pStyle w:val="MDPI42tablebody"/>
              <w:bidi w:val="0"/>
            </w:pPr>
            <w:r/>
            <w:r>
              <w:rPr>
                <w:sz w:val="20"/>
              </w:rPr>
              <w:t>60.7 +/- 3.8</w:t>
            </w:r>
          </w:p>
        </w:tc>
        <w:tc>
          <w:tcPr>
            <w:tcW w:type="dxa" w:w="1744"/>
          </w:tcPr>
          <w:p>
            <w:pPr>
              <w:pStyle w:val="MDPI42tablebody"/>
              <w:bidi w:val="0"/>
            </w:pPr>
            <w:r/>
            <w:r>
              <w:rPr>
                <w:sz w:val="20"/>
              </w:rPr>
              <w:t>0.31 +/- 0.05</w:t>
            </w:r>
          </w:p>
        </w:tc>
        <w:tc>
          <w:tcPr>
            <w:tcW w:type="dxa" w:w="1744"/>
          </w:tcPr>
          <w:p>
            <w:pPr>
              <w:pStyle w:val="MDPI42tablebody"/>
              <w:bidi w:val="0"/>
            </w:pPr>
            <w:r/>
            <w:r>
              <w:rPr>
                <w:sz w:val="20"/>
              </w:rPr>
              <w:t>0.71 +/- 0.16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6.06 +/- 0.13</w:t>
            </w:r>
          </w:p>
        </w:tc>
        <w:tc>
          <w:tcPr>
            <w:tcW w:type="dxa" w:w="1744"/>
          </w:tcPr>
          <w:p>
            <w:pPr>
              <w:pStyle w:val="MDPI42tablebody"/>
              <w:bidi w:val="0"/>
            </w:pPr>
            <w:r/>
            <w:r>
              <w:rPr>
                <w:sz w:val="20"/>
              </w:rPr>
              <w:t>52.7 +/- 3.8</w:t>
            </w:r>
          </w:p>
        </w:tc>
        <w:tc>
          <w:tcPr>
            <w:tcW w:type="dxa" w:w="1744"/>
          </w:tcPr>
          <w:p>
            <w:pPr>
              <w:pStyle w:val="MDPI42tablebody"/>
              <w:bidi w:val="0"/>
            </w:pPr>
            <w:r/>
            <w:r>
              <w:rPr>
                <w:sz w:val="20"/>
              </w:rPr>
              <w:t>62.7 +/- 3.8</w:t>
            </w:r>
          </w:p>
        </w:tc>
        <w:tc>
          <w:tcPr>
            <w:tcW w:type="dxa" w:w="1744"/>
          </w:tcPr>
          <w:p>
            <w:pPr>
              <w:pStyle w:val="MDPI42tablebody"/>
              <w:bidi w:val="0"/>
            </w:pPr>
            <w:r/>
            <w:r>
              <w:rPr>
                <w:sz w:val="20"/>
              </w:rPr>
              <w:t>0.57 +/- 0.10</w:t>
            </w:r>
          </w:p>
        </w:tc>
        <w:tc>
          <w:tcPr>
            <w:tcW w:type="dxa" w:w="1744"/>
          </w:tcPr>
          <w:p>
            <w:pPr>
              <w:pStyle w:val="MDPI42tablebody"/>
              <w:bidi w:val="0"/>
            </w:pPr>
            <w:r/>
            <w:r>
              <w:rPr>
                <w:sz w:val="20"/>
              </w:rPr>
              <w:t>1.35 +/- 0.12</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5.99 +/- 0.47</w:t>
            </w:r>
          </w:p>
        </w:tc>
        <w:tc>
          <w:tcPr>
            <w:tcW w:type="dxa" w:w="1744"/>
            <w:tcBorders>
              <w:bottom w:val="single" w:sz="8" w:space="0" w:color="000000"/>
            </w:tcBorders>
          </w:tcPr>
          <w:p>
            <w:pPr>
              <w:pStyle w:val="MDPI42tablebody"/>
              <w:bidi w:val="0"/>
            </w:pPr>
            <w:r/>
            <w:r>
              <w:rPr>
                <w:sz w:val="20"/>
              </w:rPr>
              <w:t>51.0 +/- 2.5</w:t>
            </w:r>
          </w:p>
        </w:tc>
        <w:tc>
          <w:tcPr>
            <w:tcW w:type="dxa" w:w="1744"/>
            <w:tcBorders>
              <w:bottom w:val="single" w:sz="8" w:space="0" w:color="000000"/>
            </w:tcBorders>
          </w:tcPr>
          <w:p>
            <w:pPr>
              <w:pStyle w:val="MDPI42tablebody"/>
              <w:bidi w:val="0"/>
            </w:pPr>
            <w:r/>
            <w:r>
              <w:rPr>
                <w:sz w:val="20"/>
              </w:rPr>
              <w:t>60.7 +/- 5.2</w:t>
            </w:r>
          </w:p>
        </w:tc>
        <w:tc>
          <w:tcPr>
            <w:tcW w:type="dxa" w:w="1744"/>
            <w:tcBorders>
              <w:bottom w:val="single" w:sz="8" w:space="0" w:color="000000"/>
            </w:tcBorders>
          </w:tcPr>
          <w:p>
            <w:pPr>
              <w:pStyle w:val="MDPI42tablebody"/>
              <w:bidi w:val="0"/>
            </w:pPr>
            <w:r/>
            <w:r>
              <w:rPr>
                <w:sz w:val="20"/>
              </w:rPr>
              <w:t>0.42 +/- 0.05</w:t>
            </w:r>
          </w:p>
        </w:tc>
        <w:tc>
          <w:tcPr>
            <w:tcW w:type="dxa" w:w="1744"/>
            <w:tcBorders>
              <w:bottom w:val="single" w:sz="8" w:space="0" w:color="000000"/>
            </w:tcBorders>
          </w:tcPr>
          <w:p>
            <w:pPr>
              <w:pStyle w:val="MDPI42tablebody"/>
              <w:bidi w:val="0"/>
            </w:pPr>
            <w:r/>
            <w:r>
              <w:rPr>
                <w:sz w:val="20"/>
              </w:rPr>
              <w:t>0.93 +/- 0.51</w:t>
            </w:r>
          </w:p>
        </w:tc>
      </w:tr>
    </w:tbl>
    <w:p>
      <w:pPr>
        <w:pStyle w:val="MDPI31text"/>
        <w:rPr/>
      </w:pPr>
      <w:r>
        <w:rPr/>
        <w:t xml:space="preserve">KV-cache occupancy is scraped from vLLM's gpu_cache_usage_perc gauge, which the server exposes as a 0-1 fraction of total KV-cache capacity and which the analysis script multiplies by 100 to report as a percentage; the figures in this subsection and in Tables 3 and 4 are percentages. The headline observation is that this GPU never came close to KV-cache saturation under any condition in this sweep. The highest single-repeat peak occupancy observed anywhere across all 105 runs is 8.8%, and the highest three-repeat mean peak for any cell is 7.8 +/- 2.5% (naive truncation, r = 0.3, c = 100). At c = 100, mean occupancy is 1.92 +/- 0.04% for LSPM at r = 0.3, 2.03 +/- 0.16% for raw, and 4.20 +/- 1.02% for naive truncation at r = 0.3. The KV-cache comparison is not uniformly in LSPM's favour across the grid and we do not present it as such: LSPM at r = 0.3 holds less cache than raw at matched concurrency, but LSPM at r = 0.5 and r = 0.7 holds more (2.23% and 2.44% mean at c = 100), and naive truncation at r = 0.5 and r = 0.7 holds less than either (1.17% and 1.49%). Only at the most aggressive ratio, r = 0.3, does the KV-cache ordering coincide with the answer-quality ordering established in Section 4.3. Because occupancy remained in single-digit percentages throughout, this benchmark cannot speak to behaviour near cache saturation, which is precisely the regime in which the analytical projection's benefit would be realized and in which a serving engine begins preempting or queueing requests; reaching it would require longer contexts, a longer --max-model-len, a smaller GPU, or higher concurrency than we tested, and we state that as a scope limit on this result rather than extrapolating past it (Section 5).</w:t>
      </w:r>
    </w:p>
    <w:p>
      <w:pPr>
        <w:pStyle w:val="MDPI41tablecaption"/>
        <w:rPr/>
      </w:pPr>
      <w:r>
        <w:rPr>
          <w:b/>
        </w:rPr>
        <w:t xml:space="preserve">Table 4. GPU benchmark at the highest concurrency tested (c = 100 concurrent clients), self-hosted vLLM serving Llama-3.1-8B-Instruct on a single RTX 4090. Each entry is the mean of three independent 90-second repeats with a 95% confidence interval across repeats. KV columns are percentages of total KV-cache capacity (vLLM's gpu_cache_usage_perc gauge x 100). All 105 runs across the full 35-cell grid completed with zero request failures.</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54.1 +/- 0.5</w:t>
            </w:r>
          </w:p>
        </w:tc>
        <w:tc>
          <w:tcPr>
            <w:tcW w:type="dxa" w:w="1744"/>
          </w:tcPr>
          <w:p>
            <w:pPr>
              <w:pStyle w:val="MDPI42tablebody"/>
              <w:bidi w:val="0"/>
            </w:pPr>
            <w:r/>
            <w:r>
              <w:rPr>
                <w:sz w:val="20"/>
              </w:rPr>
              <w:t>66.7 +/- 2.9</w:t>
            </w:r>
          </w:p>
        </w:tc>
        <w:tc>
          <w:tcPr>
            <w:tcW w:type="dxa" w:w="1744"/>
          </w:tcPr>
          <w:p>
            <w:pPr>
              <w:pStyle w:val="MDPI42tablebody"/>
              <w:bidi w:val="0"/>
            </w:pPr>
            <w:r/>
            <w:r>
              <w:rPr>
                <w:sz w:val="20"/>
              </w:rPr>
              <w:t>84.0 +/- 6.6</w:t>
            </w:r>
          </w:p>
        </w:tc>
        <w:tc>
          <w:tcPr>
            <w:tcW w:type="dxa" w:w="1744"/>
          </w:tcPr>
          <w:p>
            <w:pPr>
              <w:pStyle w:val="MDPI42tablebody"/>
              <w:bidi w:val="0"/>
            </w:pPr>
            <w:r/>
            <w:r>
              <w:rPr>
                <w:sz w:val="20"/>
              </w:rPr>
              <w:t>2.03 +/- 0.16</w:t>
            </w:r>
          </w:p>
        </w:tc>
        <w:tc>
          <w:tcPr>
            <w:tcW w:type="dxa" w:w="1744"/>
          </w:tcPr>
          <w:p>
            <w:pPr>
              <w:pStyle w:val="MDPI42tablebody"/>
              <w:bidi w:val="0"/>
            </w:pPr>
            <w:r/>
            <w:r>
              <w:rPr>
                <w:sz w:val="20"/>
              </w:rPr>
              <w:t>3.29 +/- 0.21</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55.7 +/- 0.5</w:t>
            </w:r>
          </w:p>
        </w:tc>
        <w:tc>
          <w:tcPr>
            <w:tcW w:type="dxa" w:w="1744"/>
          </w:tcPr>
          <w:p>
            <w:pPr>
              <w:pStyle w:val="MDPI42tablebody"/>
              <w:bidi w:val="0"/>
            </w:pPr>
            <w:r/>
            <w:r>
              <w:rPr>
                <w:sz w:val="20"/>
              </w:rPr>
              <w:t>63.7 +/- 1.4</w:t>
            </w:r>
          </w:p>
        </w:tc>
        <w:tc>
          <w:tcPr>
            <w:tcW w:type="dxa" w:w="1744"/>
          </w:tcPr>
          <w:p>
            <w:pPr>
              <w:pStyle w:val="MDPI42tablebody"/>
              <w:bidi w:val="0"/>
            </w:pPr>
            <w:r/>
            <w:r>
              <w:rPr>
                <w:sz w:val="20"/>
              </w:rPr>
              <w:t>80.7 +/- 3.8</w:t>
            </w:r>
          </w:p>
        </w:tc>
        <w:tc>
          <w:tcPr>
            <w:tcW w:type="dxa" w:w="1744"/>
          </w:tcPr>
          <w:p>
            <w:pPr>
              <w:pStyle w:val="MDPI42tablebody"/>
              <w:bidi w:val="0"/>
            </w:pPr>
            <w:r/>
            <w:r>
              <w:rPr>
                <w:sz w:val="20"/>
              </w:rPr>
              <w:t>1.92 +/- 0.04</w:t>
            </w:r>
          </w:p>
        </w:tc>
        <w:tc>
          <w:tcPr>
            <w:tcW w:type="dxa" w:w="1744"/>
          </w:tcPr>
          <w:p>
            <w:pPr>
              <w:pStyle w:val="MDPI42tablebody"/>
              <w:bidi w:val="0"/>
            </w:pPr>
            <w:r/>
            <w:r>
              <w:rPr>
                <w:sz w:val="20"/>
              </w:rPr>
              <w:t>2.98 +/- 0.28</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46.7 +/- 1.1</w:t>
            </w:r>
          </w:p>
        </w:tc>
        <w:tc>
          <w:tcPr>
            <w:tcW w:type="dxa" w:w="1744"/>
          </w:tcPr>
          <w:p>
            <w:pPr>
              <w:pStyle w:val="MDPI42tablebody"/>
              <w:bidi w:val="0"/>
            </w:pPr>
            <w:r/>
            <w:r>
              <w:rPr>
                <w:sz w:val="20"/>
              </w:rPr>
              <w:t>68.3 +/- 2.9</w:t>
            </w:r>
          </w:p>
        </w:tc>
        <w:tc>
          <w:tcPr>
            <w:tcW w:type="dxa" w:w="1744"/>
          </w:tcPr>
          <w:p>
            <w:pPr>
              <w:pStyle w:val="MDPI42tablebody"/>
              <w:bidi w:val="0"/>
            </w:pPr>
            <w:r/>
            <w:r>
              <w:rPr>
                <w:sz w:val="20"/>
              </w:rPr>
              <w:t>86.7 +/- 6.3</w:t>
            </w:r>
          </w:p>
        </w:tc>
        <w:tc>
          <w:tcPr>
            <w:tcW w:type="dxa" w:w="1744"/>
          </w:tcPr>
          <w:p>
            <w:pPr>
              <w:pStyle w:val="MDPI42tablebody"/>
              <w:bidi w:val="0"/>
            </w:pPr>
            <w:r/>
            <w:r>
              <w:rPr>
                <w:sz w:val="20"/>
              </w:rPr>
              <w:t>4.20 +/- 1.02</w:t>
            </w:r>
          </w:p>
        </w:tc>
        <w:tc>
          <w:tcPr>
            <w:tcW w:type="dxa" w:w="1744"/>
          </w:tcPr>
          <w:p>
            <w:pPr>
              <w:pStyle w:val="MDPI42tablebody"/>
              <w:bidi w:val="0"/>
            </w:pPr>
            <w:r/>
            <w:r>
              <w:rPr>
                <w:sz w:val="20"/>
              </w:rPr>
              <w:t>7.80 +/- 2.52</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53.9 +/- 0.3</w:t>
            </w:r>
          </w:p>
        </w:tc>
        <w:tc>
          <w:tcPr>
            <w:tcW w:type="dxa" w:w="1744"/>
          </w:tcPr>
          <w:p>
            <w:pPr>
              <w:pStyle w:val="MDPI42tablebody"/>
              <w:bidi w:val="0"/>
            </w:pPr>
            <w:r/>
            <w:r>
              <w:rPr>
                <w:sz w:val="20"/>
              </w:rPr>
              <w:t>64.0 +/- 0.0</w:t>
            </w:r>
          </w:p>
        </w:tc>
        <w:tc>
          <w:tcPr>
            <w:tcW w:type="dxa" w:w="1744"/>
          </w:tcPr>
          <w:p>
            <w:pPr>
              <w:pStyle w:val="MDPI42tablebody"/>
              <w:bidi w:val="0"/>
            </w:pPr>
            <w:r/>
            <w:r>
              <w:rPr>
                <w:sz w:val="20"/>
              </w:rPr>
              <w:t>79.0 +/- 2.5</w:t>
            </w:r>
          </w:p>
        </w:tc>
        <w:tc>
          <w:tcPr>
            <w:tcW w:type="dxa" w:w="1744"/>
          </w:tcPr>
          <w:p>
            <w:pPr>
              <w:pStyle w:val="MDPI42tablebody"/>
              <w:bidi w:val="0"/>
            </w:pPr>
            <w:r/>
            <w:r>
              <w:rPr>
                <w:sz w:val="20"/>
              </w:rPr>
              <w:t>2.23 +/- 0.11</w:t>
            </w:r>
          </w:p>
        </w:tc>
        <w:tc>
          <w:tcPr>
            <w:tcW w:type="dxa" w:w="1744"/>
          </w:tcPr>
          <w:p>
            <w:pPr>
              <w:pStyle w:val="MDPI42tablebody"/>
              <w:bidi w:val="0"/>
            </w:pPr>
            <w:r/>
            <w:r>
              <w:rPr>
                <w:sz w:val="20"/>
              </w:rPr>
              <w:t>3.50 +/- 0.37</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59.6 +/- 1.1</w:t>
            </w:r>
          </w:p>
        </w:tc>
        <w:tc>
          <w:tcPr>
            <w:tcW w:type="dxa" w:w="1744"/>
          </w:tcPr>
          <w:p>
            <w:pPr>
              <w:pStyle w:val="MDPI42tablebody"/>
              <w:bidi w:val="0"/>
            </w:pPr>
            <w:r/>
            <w:r>
              <w:rPr>
                <w:sz w:val="20"/>
              </w:rPr>
              <w:t>62.7 +/- 1.4</w:t>
            </w:r>
          </w:p>
        </w:tc>
        <w:tc>
          <w:tcPr>
            <w:tcW w:type="dxa" w:w="1744"/>
          </w:tcPr>
          <w:p>
            <w:pPr>
              <w:pStyle w:val="MDPI42tablebody"/>
              <w:bidi w:val="0"/>
            </w:pPr>
            <w:r/>
            <w:r>
              <w:rPr>
                <w:sz w:val="20"/>
              </w:rPr>
              <w:t>78.7 +/- 6.3</w:t>
            </w:r>
          </w:p>
        </w:tc>
        <w:tc>
          <w:tcPr>
            <w:tcW w:type="dxa" w:w="1744"/>
          </w:tcPr>
          <w:p>
            <w:pPr>
              <w:pStyle w:val="MDPI42tablebody"/>
              <w:bidi w:val="0"/>
            </w:pPr>
            <w:r/>
            <w:r>
              <w:rPr>
                <w:sz w:val="20"/>
              </w:rPr>
              <w:t>1.17 +/- 0.11</w:t>
            </w:r>
          </w:p>
        </w:tc>
        <w:tc>
          <w:tcPr>
            <w:tcW w:type="dxa" w:w="1744"/>
          </w:tcPr>
          <w:p>
            <w:pPr>
              <w:pStyle w:val="MDPI42tablebody"/>
              <w:bidi w:val="0"/>
            </w:pPr>
            <w:r/>
            <w:r>
              <w:rPr>
                <w:sz w:val="20"/>
              </w:rPr>
              <w:t>2.16 +/- 0.56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54.5 +/- 0.3</w:t>
            </w:r>
          </w:p>
        </w:tc>
        <w:tc>
          <w:tcPr>
            <w:tcW w:type="dxa" w:w="1744"/>
          </w:tcPr>
          <w:p>
            <w:pPr>
              <w:pStyle w:val="MDPI42tablebody"/>
              <w:bidi w:val="0"/>
            </w:pPr>
            <w:r/>
            <w:r>
              <w:rPr>
                <w:sz w:val="20"/>
              </w:rPr>
              <w:t>65.3 +/- 3.8</w:t>
            </w:r>
          </w:p>
        </w:tc>
        <w:tc>
          <w:tcPr>
            <w:tcW w:type="dxa" w:w="1744"/>
          </w:tcPr>
          <w:p>
            <w:pPr>
              <w:pStyle w:val="MDPI42tablebody"/>
              <w:bidi w:val="0"/>
            </w:pPr>
            <w:r/>
            <w:r>
              <w:rPr>
                <w:sz w:val="20"/>
              </w:rPr>
              <w:t>81.7 +/- 5.2</w:t>
            </w:r>
          </w:p>
        </w:tc>
        <w:tc>
          <w:tcPr>
            <w:tcW w:type="dxa" w:w="1744"/>
          </w:tcPr>
          <w:p>
            <w:pPr>
              <w:pStyle w:val="MDPI42tablebody"/>
              <w:bidi w:val="0"/>
            </w:pPr>
            <w:r/>
            <w:r>
              <w:rPr>
                <w:sz w:val="20"/>
              </w:rPr>
              <w:t>2.44 +/- 0.27</w:t>
            </w:r>
          </w:p>
        </w:tc>
        <w:tc>
          <w:tcPr>
            <w:tcW w:type="dxa" w:w="1744"/>
          </w:tcPr>
          <w:p>
            <w:pPr>
              <w:pStyle w:val="MDPI42tablebody"/>
              <w:bidi w:val="0"/>
            </w:pPr>
            <w:r/>
            <w:r>
              <w:rPr>
                <w:sz w:val="20"/>
              </w:rPr>
              <w:t>3.88 +/- 0.35</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54.9 +/- 0.3</w:t>
            </w:r>
          </w:p>
        </w:tc>
        <w:tc>
          <w:tcPr>
            <w:tcW w:type="dxa" w:w="1744"/>
            <w:tcBorders>
              <w:bottom w:val="single" w:sz="8" w:space="0" w:color="000000"/>
            </w:tcBorders>
          </w:tcPr>
          <w:p>
            <w:pPr>
              <w:pStyle w:val="MDPI42tablebody"/>
              <w:bidi w:val="0"/>
            </w:pPr>
            <w:r/>
            <w:r>
              <w:rPr>
                <w:sz w:val="20"/>
              </w:rPr>
              <w:t>64.3 +/- 1.4</w:t>
            </w:r>
          </w:p>
        </w:tc>
        <w:tc>
          <w:tcPr>
            <w:tcW w:type="dxa" w:w="1744"/>
            <w:tcBorders>
              <w:bottom w:val="single" w:sz="8" w:space="0" w:color="000000"/>
            </w:tcBorders>
          </w:tcPr>
          <w:p>
            <w:pPr>
              <w:pStyle w:val="MDPI42tablebody"/>
              <w:bidi w:val="0"/>
            </w:pPr>
            <w:r/>
            <w:r>
              <w:rPr>
                <w:sz w:val="20"/>
              </w:rPr>
              <w:t>81.0 +/- 5.0</w:t>
            </w:r>
          </w:p>
        </w:tc>
        <w:tc>
          <w:tcPr>
            <w:tcW w:type="dxa" w:w="1744"/>
            <w:tcBorders>
              <w:bottom w:val="single" w:sz="8" w:space="0" w:color="000000"/>
            </w:tcBorders>
          </w:tcPr>
          <w:p>
            <w:pPr>
              <w:pStyle w:val="MDPI42tablebody"/>
              <w:bidi w:val="0"/>
            </w:pPr>
            <w:r/>
            <w:r>
              <w:rPr>
                <w:sz w:val="20"/>
              </w:rPr>
              <w:t>1.49 +/- 0.12</w:t>
            </w:r>
          </w:p>
        </w:tc>
        <w:tc>
          <w:tcPr>
            <w:tcW w:type="dxa" w:w="1744"/>
            <w:tcBorders>
              <w:bottom w:val="single" w:sz="8" w:space="0" w:color="000000"/>
            </w:tcBorders>
          </w:tcPr>
          <w:p>
            <w:pPr>
              <w:pStyle w:val="MDPI42tablebody"/>
              <w:bidi w:val="0"/>
            </w:pPr>
            <w:r/>
            <w:r>
              <w:rPr>
                <w:sz w:val="20"/>
              </w:rPr>
              <w:t>2.64 +/- 0.67</w:t>
            </w:r>
          </w:p>
        </w:tc>
      </w:tr>
    </w:tbl>
    <w:p>
      <w:pPr>
        <w:pStyle w:val="MDPI52figure"/>
        <w:ind w:start="2608"/>
        <w:jc w:val="center"/>
        <w:rPr>
          <w:b/>
        </w:rPr>
      </w:pPr>
      <w:r>
        <w:drawing>
          <wp:inline xmlns:a="http://schemas.openxmlformats.org/drawingml/2006/main">
            <wp:extent cx="4572000" cy="6627728"/>
            <wp:docPr id="2" name="Picture 2"/>
            <wp:cNvGraphicFramePr>
              <a:graphicFrameLocks noChangeAspect="1"/>
            </wp:cNvGraphicFramePr>
            <a:graphic>
              <a:graphicData uri="http://schemas.openxmlformats.org/drawingml/2006/picture">
                <pic:pic>
                  <pic:nvPicPr>
                    <pic:cNvPr id="0" name="Fig2_sweep_v2.png"/>
                    <pic:cNvPicPr/>
                  </pic:nvPicPr>
                  <pic:blipFill>
                    <a:blip r:embed="rId18"/>
                    <a:stretch>
                      <a:fillRect/>
                    </a:stretch>
                  </pic:blipFill>
                  <pic:spPr>
                    <a:xfrm>
                      <a:off x="0" y="0"/>
                      <a:ext cx="4572000" cy="6627728"/>
                    </a:xfrm>
                    <a:prstGeom prst="rect"/>
                  </pic:spPr>
                </pic:pic>
              </a:graphicData>
            </a:graphic>
          </wp:inline>
        </w:drawing>
      </w:r>
    </w:p>
    <w:p>
      <w:pPr>
        <w:pStyle w:val="MDPI51figurecaption"/>
        <w:rPr/>
      </w:pPr>
      <w:r>
        <w:rPr>
          <w:b/>
        </w:rPr>
        <w:t xml:space="preserve">Figure 2. Throughput, median TTFT, and mean KV-cache occupancy versus concurrency for all seven context conditions, from the corrected 35-cell, three-repeat sweep. Shaded bands are 95% confidence intervals across the three repeats.</w:t>
      </w:r>
    </w:p>
    <w:p>
      <w:pPr>
        <w:pStyle w:val="MDPI22heading2"/>
        <w:spacing w:before="240" w:after="60"/>
        <w:rPr/>
      </w:pPr>
      <w:r>
        <w:rPr/>
        <w:t xml:space="preserve">4.7. Dynamic-Controller Ablation</w:t>
      </w:r>
    </w:p>
    <w:p>
      <w:pPr>
        <w:pStyle w:val="MDPI31text"/>
        <w:rPr/>
      </w:pPr>
      <w:r>
        <w:rPr/>
        <w:t xml:space="preserve">Under the original protocol of Section 3.5.3, both conditions completed with no failed requests, but no adaptation occurred: the controller returned exactly its configured max_ratio ceiling of 0.80 on every dynamic request and never moved off it, since observed occupancy never exceeded 2.1% against the 75% high_load_threshold that would have triggered tightening. That run therefore validated the controller's plumbing and stability but not its adaptive mechanism; it is superseded by the redesigned run below and its full results (request counts, TTFT, and latency for both conditions) are reported in Table S3 for provenance.</w:t>
      </w:r>
    </w:p>
    <w:p>
      <w:pPr>
        <w:pStyle w:val="MDPI31text"/>
        <w:rPr/>
      </w:pPr>
      <w:r>
        <w:rPr/>
        <w:t xml:space="preserve">Under the redesigned protocol of Section 3.5.3, both conditions again completed with no failed requests (653 logged in the fixed condition, 655 in the dynamic condition). Overall KV-cache occupancy reached as high as 56.7% in the fixed condition and 99.2% in the dynamic condition, both far above the 2.1% ceiling of the original run, and the controller's ratio in the dynamic condition ranged across its full configured span, 0.20 to 0.80, rather than sitting pinned at 0.80. This is the paper's first direct evidence that the adaptive mechanism engages: under sufficient cache pressure the controller does tighten compression toward its floor, and under light load it does relax back toward its ceiling, which the original ablation could not show because it never generated the pressure to test. Descriptively, however, the dynamic condition was not faster than the fixed r = 0.5 baseline overall: mean TTFT was 1,039.6 ms versus 860.7 ms under the fixed ratio (p95 3,097.3 versus 2,312.8 ms), and mean total latency was 2,348.9 ms versus 2,025.0 ms. This reverses the direction reported for the original, non-adaptive ablation, and the reason is visible in the same per-step logs: rather than settling near its floor, the controller spent most of the run retaining more context than the fixed condition (mean ratio by step ranged from 0.58 to 0.80 against the fixed condition's constant 0.50, Table 5), so the two conditions are not compared at a matched context size, and the slower dynamic condition is at least partly explained by the larger average prompt it was serving, not necessarily by controller overhead.</w:t>
      </w:r>
    </w:p>
    <w:p>
      <w:pPr>
        <w:pStyle w:val="MDPI41tablecaption"/>
        <w:rPr/>
      </w:pPr>
      <w:r>
        <w:rPr>
          <w:b/>
        </w:rPr>
        <w:t xml:space="preserve">Table 5. Per-step breakdown of the redesigned controller ablation (results/controller_ablation_v2), six 90 s steps per condition at the worker counts shown. The fixed condition's ratio is constant at r = 0.5 throughout by construction and is omitted as a column. KV (%) is the dynamic condition's mean KV-cache occupancy reading (gpu_cache_usage_perc x 100) during that step.</w:t>
      </w:r>
    </w:p>
    <w:tbl>
      <w:tblPr>
        <w:tblW w:type="auto" w:w="0"/>
        <w:tblLook w:firstColumn="1" w:firstRow="1" w:lastColumn="0" w:lastRow="0" w:noHBand="0" w:noVBand="1" w:val="04A0"/>
        <w:bidiVisual w:val="0"/>
      </w:tblPr>
      <w:tblGrid>
        <w:gridCol w:w="1308"/>
        <w:gridCol w:w="1308"/>
        <w:gridCol w:w="1308"/>
        <w:gridCol w:w="1308"/>
        <w:gridCol w:w="1308"/>
        <w:gridCol w:w="1308"/>
        <w:gridCol w:w="1308"/>
        <w:gridCol w:w="1308"/>
      </w:tblGrid>
      <w:tr>
        <w:tc>
          <w:tcPr>
            <w:tcW w:type="dxa" w:w="1308"/>
            <w:tcBorders>
              <w:top w:val="single" w:sz="8" w:space="0" w:color="000000"/>
              <w:bottom w:val="single" w:sz="4" w:space="0" w:color="000000"/>
            </w:tcBorders>
          </w:tcPr>
          <w:p>
            <w:pPr>
              <w:pStyle w:val="MDPI42tablebody"/>
              <w:bidi w:val="0"/>
            </w:pPr>
            <w:r/>
            <w:r>
              <w:rPr>
                <w:b/>
                <w:sz w:val="20"/>
              </w:rPr>
              <w:t>Step</w:t>
            </w:r>
          </w:p>
        </w:tc>
        <w:tc>
          <w:tcPr>
            <w:tcW w:type="dxa" w:w="1308"/>
            <w:tcBorders>
              <w:top w:val="single" w:sz="8" w:space="0" w:color="000000"/>
              <w:bottom w:val="single" w:sz="4" w:space="0" w:color="000000"/>
            </w:tcBorders>
          </w:tcPr>
          <w:p>
            <w:pPr>
              <w:pStyle w:val="MDPI42tablebody"/>
              <w:bidi w:val="0"/>
            </w:pPr>
            <w:r/>
            <w:r>
              <w:rPr>
                <w:b/>
                <w:sz w:val="20"/>
              </w:rPr>
              <w:t>Workers</w:t>
            </w:r>
          </w:p>
        </w:tc>
        <w:tc>
          <w:tcPr>
            <w:tcW w:type="dxa" w:w="1308"/>
            <w:tcBorders>
              <w:top w:val="single" w:sz="8" w:space="0" w:color="000000"/>
              <w:bottom w:val="single" w:sz="4" w:space="0" w:color="000000"/>
            </w:tcBorders>
          </w:tcPr>
          <w:p>
            <w:pPr>
              <w:pStyle w:val="MDPI42tablebody"/>
              <w:bidi w:val="0"/>
            </w:pPr>
            <w:r/>
            <w:r>
              <w:rPr>
                <w:b/>
                <w:sz w:val="20"/>
              </w:rPr>
              <w:t>Fixed TTFT (ms)</w:t>
            </w:r>
          </w:p>
        </w:tc>
        <w:tc>
          <w:tcPr>
            <w:tcW w:type="dxa" w:w="1308"/>
            <w:tcBorders>
              <w:top w:val="single" w:sz="8" w:space="0" w:color="000000"/>
              <w:bottom w:val="single" w:sz="4" w:space="0" w:color="000000"/>
            </w:tcBorders>
          </w:tcPr>
          <w:p>
            <w:pPr>
              <w:pStyle w:val="MDPI42tablebody"/>
              <w:bidi w:val="0"/>
            </w:pPr>
            <w:r/>
            <w:r>
              <w:rPr>
                <w:b/>
                <w:sz w:val="20"/>
              </w:rPr>
              <w:t>Dynamic TTFT (ms)</w:t>
            </w:r>
          </w:p>
        </w:tc>
        <w:tc>
          <w:tcPr>
            <w:tcW w:type="dxa" w:w="1308"/>
            <w:tcBorders>
              <w:top w:val="single" w:sz="8" w:space="0" w:color="000000"/>
              <w:bottom w:val="single" w:sz="4" w:space="0" w:color="000000"/>
            </w:tcBorders>
          </w:tcPr>
          <w:p>
            <w:pPr>
              <w:pStyle w:val="MDPI42tablebody"/>
              <w:bidi w:val="0"/>
            </w:pPr>
            <w:r/>
            <w:r>
              <w:rPr>
                <w:b/>
                <w:sz w:val="20"/>
              </w:rPr>
              <w:t>Fixed latency (ms)</w:t>
            </w:r>
          </w:p>
        </w:tc>
        <w:tc>
          <w:tcPr>
            <w:tcW w:type="dxa" w:w="1308"/>
            <w:tcBorders>
              <w:top w:val="single" w:sz="8" w:space="0" w:color="000000"/>
              <w:bottom w:val="single" w:sz="4" w:space="0" w:color="000000"/>
            </w:tcBorders>
          </w:tcPr>
          <w:p>
            <w:pPr>
              <w:pStyle w:val="MDPI42tablebody"/>
              <w:bidi w:val="0"/>
            </w:pPr>
            <w:r/>
            <w:r>
              <w:rPr>
                <w:b/>
                <w:sz w:val="20"/>
              </w:rPr>
              <w:t>Dynamic latency (ms)</w:t>
            </w:r>
          </w:p>
        </w:tc>
        <w:tc>
          <w:tcPr>
            <w:tcW w:type="dxa" w:w="1308"/>
            <w:tcBorders>
              <w:top w:val="single" w:sz="8" w:space="0" w:color="000000"/>
              <w:bottom w:val="single" w:sz="4" w:space="0" w:color="000000"/>
            </w:tcBorders>
          </w:tcPr>
          <w:p>
            <w:pPr>
              <w:pStyle w:val="MDPI42tablebody"/>
              <w:bidi w:val="0"/>
            </w:pPr>
            <w:r/>
            <w:r>
              <w:rPr>
                <w:b/>
                <w:sz w:val="20"/>
              </w:rPr>
              <w:t>Dynamic mean ratio</w:t>
            </w:r>
          </w:p>
        </w:tc>
        <w:tc>
          <w:tcPr>
            <w:tcW w:type="dxa" w:w="1308"/>
            <w:tcBorders>
              <w:top w:val="single" w:sz="8" w:space="0" w:color="000000"/>
              <w:bottom w:val="single" w:sz="4" w:space="0" w:color="000000"/>
            </w:tcBorders>
          </w:tcPr>
          <w:p>
            <w:pPr>
              <w:pStyle w:val="MDPI42tablebody"/>
              <w:bidi w:val="0"/>
            </w:pPr>
            <w:r/>
            <w:r>
              <w:rPr>
                <w:b/>
                <w:sz w:val="20"/>
              </w:rPr>
              <w:t>Dynamic mean KV (%)</w:t>
            </w:r>
          </w:p>
        </w:tc>
      </w:tr>
      <w:tr>
        <w:tc>
          <w:tcPr>
            <w:tcW w:type="dxa" w:w="1308"/>
          </w:tcPr>
          <w:p>
            <w:pPr>
              <w:pStyle w:val="MDPI42tablebody"/>
              <w:bidi w:val="0"/>
            </w:pPr>
            <w:r/>
            <w:r>
              <w:rPr>
                <w:sz w:val="20"/>
              </w:rPr>
              <w:t>1</w:t>
            </w:r>
          </w:p>
        </w:tc>
        <w:tc>
          <w:tcPr>
            <w:tcW w:type="dxa" w:w="1308"/>
          </w:tcPr>
          <w:p>
            <w:pPr>
              <w:pStyle w:val="MDPI42tablebody"/>
              <w:bidi w:val="0"/>
            </w:pPr>
            <w:r/>
            <w:r>
              <w:rPr>
                <w:sz w:val="20"/>
              </w:rPr>
              <w:t>10</w:t>
            </w:r>
          </w:p>
        </w:tc>
        <w:tc>
          <w:tcPr>
            <w:tcW w:type="dxa" w:w="1308"/>
          </w:tcPr>
          <w:p>
            <w:pPr>
              <w:pStyle w:val="MDPI42tablebody"/>
              <w:bidi w:val="0"/>
            </w:pPr>
            <w:r/>
            <w:r>
              <w:rPr>
                <w:sz w:val="20"/>
              </w:rPr>
              <w:t>306</w:t>
            </w:r>
          </w:p>
        </w:tc>
        <w:tc>
          <w:tcPr>
            <w:tcW w:type="dxa" w:w="1308"/>
          </w:tcPr>
          <w:p>
            <w:pPr>
              <w:pStyle w:val="MDPI42tablebody"/>
              <w:bidi w:val="0"/>
            </w:pPr>
            <w:r/>
            <w:r>
              <w:rPr>
                <w:sz w:val="20"/>
              </w:rPr>
              <w:t>391</w:t>
            </w:r>
          </w:p>
        </w:tc>
        <w:tc>
          <w:tcPr>
            <w:tcW w:type="dxa" w:w="1308"/>
          </w:tcPr>
          <w:p>
            <w:pPr>
              <w:pStyle w:val="MDPI42tablebody"/>
              <w:bidi w:val="0"/>
            </w:pPr>
            <w:r/>
            <w:r>
              <w:rPr>
                <w:sz w:val="20"/>
              </w:rPr>
              <w:t>1,409</w:t>
            </w:r>
          </w:p>
        </w:tc>
        <w:tc>
          <w:tcPr>
            <w:tcW w:type="dxa" w:w="1308"/>
          </w:tcPr>
          <w:p>
            <w:pPr>
              <w:pStyle w:val="MDPI42tablebody"/>
              <w:bidi w:val="0"/>
            </w:pPr>
            <w:r/>
            <w:r>
              <w:rPr>
                <w:sz w:val="20"/>
              </w:rPr>
              <w:t>1,338</w:t>
            </w:r>
          </w:p>
        </w:tc>
        <w:tc>
          <w:tcPr>
            <w:tcW w:type="dxa" w:w="1308"/>
          </w:tcPr>
          <w:p>
            <w:pPr>
              <w:pStyle w:val="MDPI42tablebody"/>
              <w:bidi w:val="0"/>
            </w:pPr>
            <w:r/>
            <w:r>
              <w:rPr>
                <w:sz w:val="20"/>
              </w:rPr>
              <w:t>0.766</w:t>
            </w:r>
          </w:p>
        </w:tc>
        <w:tc>
          <w:tcPr>
            <w:tcW w:type="dxa" w:w="1308"/>
          </w:tcPr>
          <w:p>
            <w:pPr>
              <w:pStyle w:val="MDPI42tablebody"/>
              <w:bidi w:val="0"/>
            </w:pPr>
            <w:r/>
            <w:r>
              <w:rPr>
                <w:sz w:val="20"/>
              </w:rPr>
              <w:t>11.9</w:t>
            </w:r>
          </w:p>
        </w:tc>
      </w:tr>
      <w:tr>
        <w:tc>
          <w:tcPr>
            <w:tcW w:type="dxa" w:w="1308"/>
          </w:tcPr>
          <w:p>
            <w:pPr>
              <w:pStyle w:val="MDPI42tablebody"/>
              <w:bidi w:val="0"/>
            </w:pPr>
            <w:r/>
            <w:r>
              <w:rPr>
                <w:sz w:val="20"/>
              </w:rPr>
              <w:t>2</w:t>
            </w:r>
          </w:p>
        </w:tc>
        <w:tc>
          <w:tcPr>
            <w:tcW w:type="dxa" w:w="1308"/>
          </w:tcPr>
          <w:p>
            <w:pPr>
              <w:pStyle w:val="MDPI42tablebody"/>
              <w:bidi w:val="0"/>
            </w:pPr>
            <w:r/>
            <w:r>
              <w:rPr>
                <w:sz w:val="20"/>
              </w:rPr>
              <w:t>30</w:t>
            </w:r>
          </w:p>
        </w:tc>
        <w:tc>
          <w:tcPr>
            <w:tcW w:type="dxa" w:w="1308"/>
          </w:tcPr>
          <w:p>
            <w:pPr>
              <w:pStyle w:val="MDPI42tablebody"/>
              <w:bidi w:val="0"/>
            </w:pPr>
            <w:r/>
            <w:r>
              <w:rPr>
                <w:sz w:val="20"/>
              </w:rPr>
              <w:t>847</w:t>
            </w:r>
          </w:p>
        </w:tc>
        <w:tc>
          <w:tcPr>
            <w:tcW w:type="dxa" w:w="1308"/>
          </w:tcPr>
          <w:p>
            <w:pPr>
              <w:pStyle w:val="MDPI42tablebody"/>
              <w:bidi w:val="0"/>
            </w:pPr>
            <w:r/>
            <w:r>
              <w:rPr>
                <w:sz w:val="20"/>
              </w:rPr>
              <w:t>878</w:t>
            </w:r>
          </w:p>
        </w:tc>
        <w:tc>
          <w:tcPr>
            <w:tcW w:type="dxa" w:w="1308"/>
          </w:tcPr>
          <w:p>
            <w:pPr>
              <w:pStyle w:val="MDPI42tablebody"/>
              <w:bidi w:val="0"/>
            </w:pPr>
            <w:r/>
            <w:r>
              <w:rPr>
                <w:sz w:val="20"/>
              </w:rPr>
              <w:t>2,034</w:t>
            </w:r>
          </w:p>
        </w:tc>
        <w:tc>
          <w:tcPr>
            <w:tcW w:type="dxa" w:w="1308"/>
          </w:tcPr>
          <w:p>
            <w:pPr>
              <w:pStyle w:val="MDPI42tablebody"/>
              <w:bidi w:val="0"/>
            </w:pPr>
            <w:r/>
            <w:r>
              <w:rPr>
                <w:sz w:val="20"/>
              </w:rPr>
              <w:t>2,266</w:t>
            </w:r>
          </w:p>
        </w:tc>
        <w:tc>
          <w:tcPr>
            <w:tcW w:type="dxa" w:w="1308"/>
          </w:tcPr>
          <w:p>
            <w:pPr>
              <w:pStyle w:val="MDPI42tablebody"/>
              <w:bidi w:val="0"/>
            </w:pPr>
            <w:r/>
            <w:r>
              <w:rPr>
                <w:sz w:val="20"/>
              </w:rPr>
              <w:t>0.791</w:t>
            </w:r>
          </w:p>
        </w:tc>
        <w:tc>
          <w:tcPr>
            <w:tcW w:type="dxa" w:w="1308"/>
          </w:tcPr>
          <w:p>
            <w:pPr>
              <w:pStyle w:val="MDPI42tablebody"/>
              <w:bidi w:val="0"/>
            </w:pPr>
            <w:r/>
            <w:r>
              <w:rPr>
                <w:sz w:val="20"/>
              </w:rPr>
              <w:t>7.8</w:t>
            </w:r>
          </w:p>
        </w:tc>
      </w:tr>
      <w:tr>
        <w:tc>
          <w:tcPr>
            <w:tcW w:type="dxa" w:w="1308"/>
          </w:tcPr>
          <w:p>
            <w:pPr>
              <w:pStyle w:val="MDPI42tablebody"/>
              <w:bidi w:val="0"/>
            </w:pPr>
            <w:r/>
            <w:r>
              <w:rPr>
                <w:sz w:val="20"/>
              </w:rPr>
              <w:t>3</w:t>
            </w:r>
          </w:p>
        </w:tc>
        <w:tc>
          <w:tcPr>
            <w:tcW w:type="dxa" w:w="1308"/>
          </w:tcPr>
          <w:p>
            <w:pPr>
              <w:pStyle w:val="MDPI42tablebody"/>
              <w:bidi w:val="0"/>
            </w:pPr>
            <w:r/>
            <w:r>
              <w:rPr>
                <w:sz w:val="20"/>
              </w:rPr>
              <w:t>80</w:t>
            </w:r>
          </w:p>
        </w:tc>
        <w:tc>
          <w:tcPr>
            <w:tcW w:type="dxa" w:w="1308"/>
          </w:tcPr>
          <w:p>
            <w:pPr>
              <w:pStyle w:val="MDPI42tablebody"/>
              <w:bidi w:val="0"/>
            </w:pPr>
            <w:r/>
            <w:r>
              <w:rPr>
                <w:sz w:val="20"/>
              </w:rPr>
              <w:t>988</w:t>
            </w:r>
          </w:p>
        </w:tc>
        <w:tc>
          <w:tcPr>
            <w:tcW w:type="dxa" w:w="1308"/>
          </w:tcPr>
          <w:p>
            <w:pPr>
              <w:pStyle w:val="MDPI42tablebody"/>
              <w:bidi w:val="0"/>
            </w:pPr>
            <w:r/>
            <w:r>
              <w:rPr>
                <w:sz w:val="20"/>
              </w:rPr>
              <w:t>835</w:t>
            </w:r>
          </w:p>
        </w:tc>
        <w:tc>
          <w:tcPr>
            <w:tcW w:type="dxa" w:w="1308"/>
          </w:tcPr>
          <w:p>
            <w:pPr>
              <w:pStyle w:val="MDPI42tablebody"/>
              <w:bidi w:val="0"/>
            </w:pPr>
            <w:r/>
            <w:r>
              <w:rPr>
                <w:sz w:val="20"/>
              </w:rPr>
              <w:t>1,876</w:t>
            </w:r>
          </w:p>
        </w:tc>
        <w:tc>
          <w:tcPr>
            <w:tcW w:type="dxa" w:w="1308"/>
          </w:tcPr>
          <w:p>
            <w:pPr>
              <w:pStyle w:val="MDPI42tablebody"/>
              <w:bidi w:val="0"/>
            </w:pPr>
            <w:r/>
            <w:r>
              <w:rPr>
                <w:sz w:val="20"/>
              </w:rPr>
              <w:t>1,865</w:t>
            </w:r>
          </w:p>
        </w:tc>
        <w:tc>
          <w:tcPr>
            <w:tcW w:type="dxa" w:w="1308"/>
          </w:tcPr>
          <w:p>
            <w:pPr>
              <w:pStyle w:val="MDPI42tablebody"/>
              <w:bidi w:val="0"/>
            </w:pPr>
            <w:r/>
            <w:r>
              <w:rPr>
                <w:sz w:val="20"/>
              </w:rPr>
              <w:t>0.797</w:t>
            </w:r>
          </w:p>
        </w:tc>
        <w:tc>
          <w:tcPr>
            <w:tcW w:type="dxa" w:w="1308"/>
          </w:tcPr>
          <w:p>
            <w:pPr>
              <w:pStyle w:val="MDPI42tablebody"/>
              <w:bidi w:val="0"/>
            </w:pPr>
            <w:r/>
            <w:r>
              <w:rPr>
                <w:sz w:val="20"/>
              </w:rPr>
              <w:t>10.6</w:t>
            </w:r>
          </w:p>
        </w:tc>
      </w:tr>
      <w:tr>
        <w:tc>
          <w:tcPr>
            <w:tcW w:type="dxa" w:w="1308"/>
          </w:tcPr>
          <w:p>
            <w:pPr>
              <w:pStyle w:val="MDPI42tablebody"/>
              <w:bidi w:val="0"/>
            </w:pPr>
            <w:r/>
            <w:r>
              <w:rPr>
                <w:sz w:val="20"/>
              </w:rPr>
              <w:t>4</w:t>
            </w:r>
          </w:p>
        </w:tc>
        <w:tc>
          <w:tcPr>
            <w:tcW w:type="dxa" w:w="1308"/>
          </w:tcPr>
          <w:p>
            <w:pPr>
              <w:pStyle w:val="MDPI42tablebody"/>
              <w:bidi w:val="0"/>
            </w:pPr>
            <w:r/>
            <w:r>
              <w:rPr>
                <w:sz w:val="20"/>
              </w:rPr>
              <w:t>80</w:t>
            </w:r>
          </w:p>
        </w:tc>
        <w:tc>
          <w:tcPr>
            <w:tcW w:type="dxa" w:w="1308"/>
          </w:tcPr>
          <w:p>
            <w:pPr>
              <w:pStyle w:val="MDPI42tablebody"/>
              <w:bidi w:val="0"/>
            </w:pPr>
            <w:r/>
            <w:r>
              <w:rPr>
                <w:sz w:val="20"/>
              </w:rPr>
              <w:t>1,222</w:t>
            </w:r>
          </w:p>
        </w:tc>
        <w:tc>
          <w:tcPr>
            <w:tcW w:type="dxa" w:w="1308"/>
          </w:tcPr>
          <w:p>
            <w:pPr>
              <w:pStyle w:val="MDPI42tablebody"/>
              <w:bidi w:val="0"/>
            </w:pPr>
            <w:r/>
            <w:r>
              <w:rPr>
                <w:sz w:val="20"/>
              </w:rPr>
              <w:t>1,663</w:t>
            </w:r>
          </w:p>
        </w:tc>
        <w:tc>
          <w:tcPr>
            <w:tcW w:type="dxa" w:w="1308"/>
          </w:tcPr>
          <w:p>
            <w:pPr>
              <w:pStyle w:val="MDPI42tablebody"/>
              <w:bidi w:val="0"/>
            </w:pPr>
            <w:r/>
            <w:r>
              <w:rPr>
                <w:sz w:val="20"/>
              </w:rPr>
              <w:t>2,483</w:t>
            </w:r>
          </w:p>
        </w:tc>
        <w:tc>
          <w:tcPr>
            <w:tcW w:type="dxa" w:w="1308"/>
          </w:tcPr>
          <w:p>
            <w:pPr>
              <w:pStyle w:val="MDPI42tablebody"/>
              <w:bidi w:val="0"/>
            </w:pPr>
            <w:r/>
            <w:r>
              <w:rPr>
                <w:sz w:val="20"/>
              </w:rPr>
              <w:t>3,345</w:t>
            </w:r>
          </w:p>
        </w:tc>
        <w:tc>
          <w:tcPr>
            <w:tcW w:type="dxa" w:w="1308"/>
          </w:tcPr>
          <w:p>
            <w:pPr>
              <w:pStyle w:val="MDPI42tablebody"/>
              <w:bidi w:val="0"/>
            </w:pPr>
            <w:r/>
            <w:r>
              <w:rPr>
                <w:sz w:val="20"/>
              </w:rPr>
              <w:t>0.652</w:t>
            </w:r>
          </w:p>
        </w:tc>
        <w:tc>
          <w:tcPr>
            <w:tcW w:type="dxa" w:w="1308"/>
          </w:tcPr>
          <w:p>
            <w:pPr>
              <w:pStyle w:val="MDPI42tablebody"/>
              <w:bidi w:val="0"/>
            </w:pPr>
            <w:r/>
            <w:r>
              <w:rPr>
                <w:sz w:val="20"/>
              </w:rPr>
              <w:t>24.8</w:t>
            </w:r>
          </w:p>
        </w:tc>
      </w:tr>
      <w:tr>
        <w:tc>
          <w:tcPr>
            <w:tcW w:type="dxa" w:w="1308"/>
          </w:tcPr>
          <w:p>
            <w:pPr>
              <w:pStyle w:val="MDPI42tablebody"/>
              <w:bidi w:val="0"/>
            </w:pPr>
            <w:r/>
            <w:r>
              <w:rPr>
                <w:sz w:val="20"/>
              </w:rPr>
              <w:t>5</w:t>
            </w:r>
          </w:p>
        </w:tc>
        <w:tc>
          <w:tcPr>
            <w:tcW w:type="dxa" w:w="1308"/>
          </w:tcPr>
          <w:p>
            <w:pPr>
              <w:pStyle w:val="MDPI42tablebody"/>
              <w:bidi w:val="0"/>
            </w:pPr>
            <w:r/>
            <w:r>
              <w:rPr>
                <w:sz w:val="20"/>
              </w:rPr>
              <w:t>30</w:t>
            </w:r>
          </w:p>
        </w:tc>
        <w:tc>
          <w:tcPr>
            <w:tcW w:type="dxa" w:w="1308"/>
          </w:tcPr>
          <w:p>
            <w:pPr>
              <w:pStyle w:val="MDPI42tablebody"/>
              <w:bidi w:val="0"/>
            </w:pPr>
            <w:r/>
            <w:r>
              <w:rPr>
                <w:sz w:val="20"/>
              </w:rPr>
              <w:t>1,387</w:t>
            </w:r>
          </w:p>
        </w:tc>
        <w:tc>
          <w:tcPr>
            <w:tcW w:type="dxa" w:w="1308"/>
          </w:tcPr>
          <w:p>
            <w:pPr>
              <w:pStyle w:val="MDPI42tablebody"/>
              <w:bidi w:val="0"/>
            </w:pPr>
            <w:r/>
            <w:r>
              <w:rPr>
                <w:sz w:val="20"/>
              </w:rPr>
              <w:t>2,110</w:t>
            </w:r>
          </w:p>
        </w:tc>
        <w:tc>
          <w:tcPr>
            <w:tcW w:type="dxa" w:w="1308"/>
          </w:tcPr>
          <w:p>
            <w:pPr>
              <w:pStyle w:val="MDPI42tablebody"/>
              <w:bidi w:val="0"/>
            </w:pPr>
            <w:r/>
            <w:r>
              <w:rPr>
                <w:sz w:val="20"/>
              </w:rPr>
              <w:t>2,569</w:t>
            </w:r>
          </w:p>
        </w:tc>
        <w:tc>
          <w:tcPr>
            <w:tcW w:type="dxa" w:w="1308"/>
          </w:tcPr>
          <w:p>
            <w:pPr>
              <w:pStyle w:val="MDPI42tablebody"/>
              <w:bidi w:val="0"/>
            </w:pPr>
            <w:r/>
            <w:r>
              <w:rPr>
                <w:sz w:val="20"/>
              </w:rPr>
              <w:t>3,468</w:t>
            </w:r>
          </w:p>
        </w:tc>
        <w:tc>
          <w:tcPr>
            <w:tcW w:type="dxa" w:w="1308"/>
          </w:tcPr>
          <w:p>
            <w:pPr>
              <w:pStyle w:val="MDPI42tablebody"/>
              <w:bidi w:val="0"/>
            </w:pPr>
            <w:r/>
            <w:r>
              <w:rPr>
                <w:sz w:val="20"/>
              </w:rPr>
              <w:t>0.800</w:t>
            </w:r>
          </w:p>
        </w:tc>
        <w:tc>
          <w:tcPr>
            <w:tcW w:type="dxa" w:w="1308"/>
          </w:tcPr>
          <w:p>
            <w:pPr>
              <w:pStyle w:val="MDPI42tablebody"/>
              <w:bidi w:val="0"/>
            </w:pPr>
            <w:r/>
            <w:r>
              <w:rPr>
                <w:sz w:val="20"/>
              </w:rPr>
              <w:t>0.1</w:t>
            </w:r>
          </w:p>
        </w:tc>
      </w:tr>
      <w:tr>
        <w:tc>
          <w:tcPr>
            <w:tcW w:type="dxa" w:w="1308"/>
            <w:tcBorders>
              <w:bottom w:val="single" w:sz="8" w:space="0" w:color="000000"/>
            </w:tcBorders>
          </w:tcPr>
          <w:p>
            <w:pPr>
              <w:pStyle w:val="MDPI42tablebody"/>
              <w:bidi w:val="0"/>
            </w:pPr>
            <w:r/>
            <w:r>
              <w:rPr>
                <w:sz w:val="20"/>
              </w:rPr>
              <w:t>6</w:t>
            </w:r>
          </w:p>
        </w:tc>
        <w:tc>
          <w:tcPr>
            <w:tcW w:type="dxa" w:w="1308"/>
            <w:tcBorders>
              <w:bottom w:val="single" w:sz="8" w:space="0" w:color="000000"/>
            </w:tcBorders>
          </w:tcPr>
          <w:p>
            <w:pPr>
              <w:pStyle w:val="MDPI42tablebody"/>
              <w:bidi w:val="0"/>
            </w:pPr>
            <w:r/>
            <w:r>
              <w:rPr>
                <w:sz w:val="20"/>
              </w:rPr>
              <w:t>10</w:t>
            </w:r>
          </w:p>
        </w:tc>
        <w:tc>
          <w:tcPr>
            <w:tcW w:type="dxa" w:w="1308"/>
            <w:tcBorders>
              <w:bottom w:val="single" w:sz="8" w:space="0" w:color="000000"/>
            </w:tcBorders>
          </w:tcPr>
          <w:p>
            <w:pPr>
              <w:pStyle w:val="MDPI42tablebody"/>
              <w:bidi w:val="0"/>
            </w:pPr>
            <w:r/>
            <w:r>
              <w:rPr>
                <w:sz w:val="20"/>
              </w:rPr>
              <w:t>1,334</w:t>
            </w:r>
          </w:p>
        </w:tc>
        <w:tc>
          <w:tcPr>
            <w:tcW w:type="dxa" w:w="1308"/>
            <w:tcBorders>
              <w:bottom w:val="single" w:sz="8" w:space="0" w:color="000000"/>
            </w:tcBorders>
          </w:tcPr>
          <w:p>
            <w:pPr>
              <w:pStyle w:val="MDPI42tablebody"/>
              <w:bidi w:val="0"/>
            </w:pPr>
            <w:r/>
            <w:r>
              <w:rPr>
                <w:sz w:val="20"/>
              </w:rPr>
              <w:t>904</w:t>
            </w:r>
          </w:p>
        </w:tc>
        <w:tc>
          <w:tcPr>
            <w:tcW w:type="dxa" w:w="1308"/>
            <w:tcBorders>
              <w:bottom w:val="single" w:sz="8" w:space="0" w:color="000000"/>
            </w:tcBorders>
          </w:tcPr>
          <w:p>
            <w:pPr>
              <w:pStyle w:val="MDPI42tablebody"/>
              <w:bidi w:val="0"/>
            </w:pPr>
            <w:r/>
            <w:r>
              <w:rPr>
                <w:sz w:val="20"/>
              </w:rPr>
              <w:t>2,690</w:t>
            </w:r>
          </w:p>
        </w:tc>
        <w:tc>
          <w:tcPr>
            <w:tcW w:type="dxa" w:w="1308"/>
            <w:tcBorders>
              <w:bottom w:val="single" w:sz="8" w:space="0" w:color="000000"/>
            </w:tcBorders>
          </w:tcPr>
          <w:p>
            <w:pPr>
              <w:pStyle w:val="MDPI42tablebody"/>
              <w:bidi w:val="0"/>
            </w:pPr>
            <w:r/>
            <w:r>
              <w:rPr>
                <w:sz w:val="20"/>
              </w:rPr>
              <w:t>2,351</w:t>
            </w:r>
          </w:p>
        </w:tc>
        <w:tc>
          <w:tcPr>
            <w:tcW w:type="dxa" w:w="1308"/>
            <w:tcBorders>
              <w:bottom w:val="single" w:sz="8" w:space="0" w:color="000000"/>
            </w:tcBorders>
          </w:tcPr>
          <w:p>
            <w:pPr>
              <w:pStyle w:val="MDPI42tablebody"/>
              <w:bidi w:val="0"/>
            </w:pPr>
            <w:r/>
            <w:r>
              <w:rPr>
                <w:sz w:val="20"/>
              </w:rPr>
              <w:t>0.576</w:t>
            </w:r>
          </w:p>
        </w:tc>
        <w:tc>
          <w:tcPr>
            <w:tcW w:type="dxa" w:w="1308"/>
            <w:tcBorders>
              <w:bottom w:val="single" w:sz="8" w:space="0" w:color="000000"/>
            </w:tcBorders>
          </w:tcPr>
          <w:p>
            <w:pPr>
              <w:pStyle w:val="MDPI42tablebody"/>
              <w:bidi w:val="0"/>
            </w:pPr>
            <w:r/>
            <w:r>
              <w:rPr>
                <w:sz w:val="20"/>
              </w:rPr>
              <w:t>34.4</w:t>
            </w:r>
          </w:p>
        </w:tc>
      </w:tr>
    </w:tbl>
    <w:p>
      <w:pPr>
        <w:pStyle w:val="MDPI31text"/>
        <w:rPr/>
      </w:pPr>
      <w:r>
        <w:rPr/>
        <w:t xml:space="preserve">Two further observations temper how this table should be read. First, occupancy does not track the intended concurrency ramp cleanly: the highest per-step mean occupancy in the dynamic condition (34.4%) occurs in step 6, the final low-concurrency cool-down step, rather than in the peak 80-worker steps 3-4, which most plausibly reflects queued requests from the preceding high-load steps still occupying cache as the new, lighter step's traffic begins, or the coarseness of the once-per-request occupancy poll relative to a fast-moving queue, rather than a property of the controller itself; we report the numbers as measured rather than smoothing them into the cleaner story the intended step schedule would suggest. Second, the overall dynamic occupancy maximum of 99.2% is a request-level extreme not reflected in any single step's mean of 34.4% or below, so it should be read as a brief spike captured on the individual request that observed it, not as a sustained operating point; the ratio floor of 0.20 was reached at least transiently, most plausibly at or near that spike, but the controller spent the great majority of the run in the 0.58-0.80 band. What this redesigned ablation does and does not establish should therefore be stated as precisely as the original: it establishes that the adaptive mechanism engages under real cache pressure, reads the metric it is supposed to read, and returns values across its full configured range rather than only its ceiling; it does not establish that adapting improves throughput, tail latency, or answer quality relative to a fixed ratio, because the two conditions differ in average retained context throughout the run and are consequently not a context-matched comparison of control policy. The natural next step, a fixed-r = 0.8 versus dynamic comparison that matches the dynamic condition's typical operating ratio, has not been run and is recorded as an open item in Section 5.</w:t>
      </w:r>
    </w:p>
    <w:p>
      <w:pPr>
        <w:pStyle w:val="MDPI22heading2"/>
        <w:spacing w:before="240" w:after="60"/>
        <w:rPr/>
      </w:pPr>
      <w:r>
        <w:rPr/>
        <w:t xml:space="preserve">4.8. Token-Budget-Matched Rerun and a Modern Compression Baseline</w:t>
      </w:r>
    </w:p>
    <w:p>
      <w:pPr>
        <w:pStyle w:val="MDPI31text"/>
        <w:rPr/>
      </w:pPr>
      <w:r>
        <w:rPr>
          <w:b/>
        </w:rPr>
        <w:t xml:space="preserve">A note on scoring. </w:t>
      </w:r>
      <w:r>
        <w:rPr/>
        <w:t xml:space="preserve">Every Arabic-normalized Exact Match and token-F1 figure reported in this paper, including Table 2 and Table 7, is computed with one scorer, released as scripts/score_arcd.py (Arabic diacritic stripping, alef-variant normalization, definite-article stripping, SQuAD-style token-F1). A differently named scorer, eval/arabic_em_f1.py, is referenced by some internal analysis scripts but is not present in the released repository; every table and paired test in this paper instead uses scripts/score_arcd.py, applied identically to every condition, so exactly one scoring implementation underlies every reported number.</w:t>
      </w:r>
    </w:p>
    <w:p>
      <w:pPr>
        <w:pStyle w:val="MDPI31text"/>
        <w:rPr/>
      </w:pPr>
      <w:r>
        <w:rPr/>
        <w:t xml:space="preserve">Under the protocol of Section 3.5.4, the naive_tokbudget match to LSPM's realized token cost is close but not exact, because whole-sentence selection cannot always land exactly on the target: naive_tokbudget's mean actual prompt length is 358.4 tokens against a mean LSPM target of 399.2 at r = 0.3 (a 10.2% shortfall), 611.8 against 664.8 at r = 0.5 (8.0%), and 898.3 against 943.5 at r = 0.7 (4.8%); if anything this leaves naive_tokbudget with a smaller, not larger, average budget than LSPM at every ratio tested, which if it biased the comparison at all would bias it in naive_tokbudget's favour. These LSPM target figures are lower than the 481.9-token mean reported for the same r = 0.3 condition in Section 4.3 because they measure a different quantity: the target here is the pruned context text alone, matched against for the purpose of the naive_tokbudget budget, whereas Section 4.3's figure is the full prompt entering the generator, including the fixed chat template, system prompt, and question text that every condition carries regardless of ratio. Both quantities are released per cell (context tokens and full prompt tokens, Data Availability Statement) so this offset is verifiable rather than asserted.</w:t>
      </w:r>
    </w:p>
    <w:p>
      <w:pPr>
        <w:pStyle w:val="MDPI31text"/>
        <w:rPr/>
      </w:pPr>
      <w:r>
        <w:rPr/>
        <w:t xml:space="preserve">Under this token-budget match, LSPM's F1 advantage at r = 0.3 replicates and remains significant: mean F1 0.652 for LSPM against 0.512 for naive_tokbudget, a paired difference of +0.140 (95% CI +0.075 to +0.206, Wilcoxon p = 0.00011, Holm-Bonferroni-adjusted across this three-ratio family p = 0.00033); the paired EM difference at the same ratio (+0.036, 95% CI -0.029 to +0.100) is not significant. At r = 0.5 and r = 0.7 the F1 differences are +0.050 (95% CI -0.017 to +0.118, adjusted p = 0.191) and +0.053 (95% CI -0.001 to +0.111, adjusted p = 0.191), both directionally consistent with the r = 0.3 result and with the sentence-matched comparison of Section 4.3 but not statistically significant after correction, and the corresponding EM differences at these two ratios are small and non-significantly favour naive_tokbudget (-0.021 and -0.029). The pattern across all three ratios therefore mirrors Table 2 closely: a significant, sizeable F1 advantage concentrated at the most aggressive ratio, with the advantage at r = 0.5 and 0.7 present in direction but not significant, this time under a design that matches token budget rather than sentence count. The most important open methodological gap on this comparison is accordingly closed: at an equal, and if anything slightly smaller, prompt-token budget, semantic selection still significantly outperforms positional selection at r = 0.3.</w:t>
      </w:r>
    </w:p>
    <w:p>
      <w:pPr>
        <w:pStyle w:val="MDPI31text"/>
        <w:rPr/>
      </w:pPr>
      <w:r>
        <w:rPr>
          <w:b/>
        </w:rPr>
        <w:t xml:space="preserve">A modern compression baseline: LLMLingua-2. </w:t>
      </w:r>
      <w:r>
        <w:rPr/>
        <w:t xml:space="preserve">Under the protocol of Section 3.5.4, LLMLingua-2's own compression budget was verified against the same origin context: mean origin length 2,571.9 tokens, compressed to a mean of 764.0 tokens at r = 0.3 (a realized ratio of 0.297), 1,277.6 tokens at r = 0.5 (0.497), and 1,786.7 tokens at r = 0.7 (0.695), confirming LLMLingua-2 hit its configured budget closely at every ratio. This origin-length figure is not directly comparable to Section 4.3's 1,485.6-token raw-condition mean: both describe the same underlying retrieved context, but LLMLingua-2's own compressor reports origin and compressed lengths using its own token classifier's tokenizer (a multilingual BERT vocabulary), not Llama-3.1's tokenizer, and counts the context text alone rather than the full prompt with chat template, system prompt, and question included. A single passage of Arabic text yielding a substantially larger token count under one subword vocabulary than another is precisely the tokenization-disparity phenomenon this paper's Section 4.1 documents, so this gap is consistent with, rather than a bookkeeping problem alongside, this paper's central motivation. LSPM significantly outperforms LLMLingua-2 on token-F1 at all three ratios after Holm-Bonferroni correction within this three-ratio family: at r = 0.3, mean F1 0.652 versus 0.440, a paired difference of +0.211 (95% CI +0.142 to +0.280, Wilcoxon p = 3.7e-8, adjusted p = 1.1e-7); at r = 0.5, 0.640 versus 0.541, difference +0.099 (95% CI +0.042 to +0.154, p = 0.0010, adjusted p = 0.0021); at r = 0.7, 0.665 versus 0.619, difference +0.046 (95% CI -0.002 to +0.094, p = 0.037, adjusted p = 0.037). The r = 0.7 result should be read cautiously despite clearing the corrected significance threshold: the bootstrap confidence interval on the mean difference includes zero at its lower bound, so the rank-based Wilcoxon test and the mean-based bootstrap interval disagree at the margin in the same way Section 4.3 notes can happen for this paper's other borderline contrasts, and the r = 0.7 LLMLingua-2 comparison is the weakest of the three. The paired EM differences follow the same pattern as the sentence-matched comparison in Section 4.3: significant only at r = 0.3 (+0.121, 95% CI +0.036 to +0.207, adjusted p = 0.016) and not significant at r = 0.5 or r = 0.7 (adjusted p = 0.594 and 0.819). LSPM's advantage over a genuine modern compression baseline, not only over naive positional truncation, is accordingly demonstrated on token-F1 at every ratio tested, most convincingly at r = 0.3 and 0.5 (Table 6 reports both the naive_tokbudget and LLMLingua-2 comparisons in full). This comparison covers answer quality only; LLMLingua-2's pruning latency, end-to-end serving latency, throughput, and KV-cache footprint relative to LSPM were not measured and remain an open item (Section 5).</w:t>
      </w:r>
    </w:p>
    <w:p>
      <w:pPr>
        <w:pStyle w:val="MDPI41tablecaption"/>
        <w:rPr/>
      </w:pPr>
      <w:r>
        <w:rPr>
          <w:b/>
        </w:rPr>
        <w:t xml:space="preserve">Table 6. Token-F1 comparisons for two additional context-construction baselines: naive_tokbudget (naive truncation matched to LSPM's actual per-question token budget rather than its sentence count) and LLMLingua-2 [71] (a modern learned prompt compressor). Both are compared against LSPM on the same 140 ARCD questions used throughout Section 4.3. Holm-Bonferroni correction is applied within each three-ratio family separately from the nine-test family of Section 4.3, since these are new hypotheses tested on new data.</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Comparison (r)</w:t>
            </w:r>
          </w:p>
        </w:tc>
        <w:tc>
          <w:tcPr>
            <w:tcW w:type="dxa" w:w="1744"/>
            <w:tcBorders>
              <w:top w:val="single" w:sz="8" w:space="0" w:color="000000"/>
              <w:bottom w:val="single" w:sz="4" w:space="0" w:color="000000"/>
            </w:tcBorders>
          </w:tcPr>
          <w:p>
            <w:pPr>
              <w:pStyle w:val="MDPI42tablebody"/>
              <w:bidi w:val="0"/>
            </w:pPr>
            <w:r/>
            <w:r>
              <w:rPr>
                <w:b/>
                <w:sz w:val="20"/>
              </w:rPr>
              <w:t>Method A mean F1</w:t>
            </w:r>
          </w:p>
        </w:tc>
        <w:tc>
          <w:tcPr>
            <w:tcW w:type="dxa" w:w="1744"/>
            <w:tcBorders>
              <w:top w:val="single" w:sz="8" w:space="0" w:color="000000"/>
              <w:bottom w:val="single" w:sz="4" w:space="0" w:color="000000"/>
            </w:tcBorders>
          </w:tcPr>
          <w:p>
            <w:pPr>
              <w:pStyle w:val="MDPI42tablebody"/>
              <w:bidi w:val="0"/>
            </w:pPr>
            <w:r/>
            <w:r>
              <w:rPr>
                <w:b/>
                <w:sz w:val="20"/>
              </w:rPr>
              <w:t>Method B mean F1</w:t>
            </w:r>
          </w:p>
        </w:tc>
        <w:tc>
          <w:tcPr>
            <w:tcW w:type="dxa" w:w="1744"/>
            <w:tcBorders>
              <w:top w:val="single" w:sz="8" w:space="0" w:color="000000"/>
              <w:bottom w:val="single" w:sz="4" w:space="0" w:color="000000"/>
            </w:tcBorders>
          </w:tcPr>
          <w:p>
            <w:pPr>
              <w:pStyle w:val="MDPI42tablebody"/>
              <w:bidi w:val="0"/>
            </w:pPr>
            <w:r/>
            <w:r>
              <w:rPr>
                <w:b/>
                <w:sz w:val="20"/>
              </w:rPr>
              <w:t>Paired diff (F1)</w:t>
            </w:r>
          </w:p>
        </w:tc>
        <w:tc>
          <w:tcPr>
            <w:tcW w:type="dxa" w:w="1744"/>
            <w:tcBorders>
              <w:top w:val="single" w:sz="8" w:space="0" w:color="000000"/>
              <w:bottom w:val="single" w:sz="4" w:space="0" w:color="000000"/>
            </w:tcBorders>
          </w:tcPr>
          <w:p>
            <w:pPr>
              <w:pStyle w:val="MDPI42tablebody"/>
              <w:bidi w:val="0"/>
            </w:pPr>
            <w:r/>
            <w:r>
              <w:rPr>
                <w:b/>
                <w:sz w:val="20"/>
              </w:rPr>
              <w:t>95% CI</w:t>
            </w:r>
          </w:p>
        </w:tc>
        <w:tc>
          <w:tcPr>
            <w:tcW w:type="dxa" w:w="1744"/>
            <w:tcBorders>
              <w:top w:val="single" w:sz="8" w:space="0" w:color="000000"/>
              <w:bottom w:val="single" w:sz="4" w:space="0" w:color="000000"/>
            </w:tcBorders>
          </w:tcPr>
          <w:p>
            <w:pPr>
              <w:pStyle w:val="MDPI42tablebody"/>
              <w:bidi w:val="0"/>
            </w:pPr>
            <w:r/>
            <w:r>
              <w:rPr>
                <w:b/>
                <w:sz w:val="20"/>
              </w:rPr>
              <w:t>Holm-adj. p</w:t>
            </w:r>
          </w:p>
        </w:tc>
      </w:tr>
      <w:tr>
        <w:tc>
          <w:tcPr>
            <w:tcW w:type="dxa" w:w="1744"/>
          </w:tcPr>
          <w:p>
            <w:pPr>
              <w:pStyle w:val="MDPI42tablebody"/>
              <w:bidi w:val="0"/>
            </w:pPr>
            <w:r/>
            <w:r>
              <w:rPr>
                <w:sz w:val="20"/>
              </w:rPr>
              <w:t>LSPM vs. naive_tokbudget, r=0.3</w:t>
            </w:r>
          </w:p>
        </w:tc>
        <w:tc>
          <w:tcPr>
            <w:tcW w:type="dxa" w:w="1744"/>
          </w:tcPr>
          <w:p>
            <w:pPr>
              <w:pStyle w:val="MDPI42tablebody"/>
              <w:bidi w:val="0"/>
            </w:pPr>
            <w:r/>
            <w:r>
              <w:rPr>
                <w:sz w:val="20"/>
              </w:rPr>
              <w:t>0.652</w:t>
            </w:r>
          </w:p>
        </w:tc>
        <w:tc>
          <w:tcPr>
            <w:tcW w:type="dxa" w:w="1744"/>
          </w:tcPr>
          <w:p>
            <w:pPr>
              <w:pStyle w:val="MDPI42tablebody"/>
              <w:bidi w:val="0"/>
            </w:pPr>
            <w:r/>
            <w:r>
              <w:rPr>
                <w:sz w:val="20"/>
              </w:rPr>
              <w:t>0.512</w:t>
            </w:r>
          </w:p>
        </w:tc>
        <w:tc>
          <w:tcPr>
            <w:tcW w:type="dxa" w:w="1744"/>
          </w:tcPr>
          <w:p>
            <w:pPr>
              <w:pStyle w:val="MDPI42tablebody"/>
              <w:bidi w:val="0"/>
            </w:pPr>
            <w:r/>
            <w:r>
              <w:rPr>
                <w:sz w:val="20"/>
              </w:rPr>
              <w:t>+0.140</w:t>
            </w:r>
          </w:p>
        </w:tc>
        <w:tc>
          <w:tcPr>
            <w:tcW w:type="dxa" w:w="1744"/>
          </w:tcPr>
          <w:p>
            <w:pPr>
              <w:pStyle w:val="MDPI42tablebody"/>
              <w:bidi w:val="0"/>
            </w:pPr>
            <w:r/>
            <w:r>
              <w:rPr>
                <w:sz w:val="20"/>
              </w:rPr>
              <w:t>+0.075 to +0.206</w:t>
            </w:r>
          </w:p>
        </w:tc>
        <w:tc>
          <w:tcPr>
            <w:tcW w:type="dxa" w:w="1744"/>
          </w:tcPr>
          <w:p>
            <w:pPr>
              <w:pStyle w:val="MDPI42tablebody"/>
              <w:bidi w:val="0"/>
            </w:pPr>
            <w:r/>
            <w:r>
              <w:rPr>
                <w:sz w:val="20"/>
              </w:rPr>
              <w:t>0.0003</w:t>
            </w:r>
          </w:p>
        </w:tc>
      </w:tr>
      <w:tr>
        <w:tc>
          <w:tcPr>
            <w:tcW w:type="dxa" w:w="1744"/>
          </w:tcPr>
          <w:p>
            <w:pPr>
              <w:pStyle w:val="MDPI42tablebody"/>
              <w:bidi w:val="0"/>
            </w:pPr>
            <w:r/>
            <w:r>
              <w:rPr>
                <w:sz w:val="20"/>
              </w:rPr>
              <w:t>LSPM vs. naive_tokbudget, r=0.5</w:t>
            </w:r>
          </w:p>
        </w:tc>
        <w:tc>
          <w:tcPr>
            <w:tcW w:type="dxa" w:w="1744"/>
          </w:tcPr>
          <w:p>
            <w:pPr>
              <w:pStyle w:val="MDPI42tablebody"/>
              <w:bidi w:val="0"/>
            </w:pPr>
            <w:r/>
            <w:r>
              <w:rPr>
                <w:sz w:val="20"/>
              </w:rPr>
              <w:t>0.640</w:t>
            </w:r>
          </w:p>
        </w:tc>
        <w:tc>
          <w:tcPr>
            <w:tcW w:type="dxa" w:w="1744"/>
          </w:tcPr>
          <w:p>
            <w:pPr>
              <w:pStyle w:val="MDPI42tablebody"/>
              <w:bidi w:val="0"/>
            </w:pPr>
            <w:r/>
            <w:r>
              <w:rPr>
                <w:sz w:val="20"/>
              </w:rPr>
              <w:t>0.590</w:t>
            </w:r>
          </w:p>
        </w:tc>
        <w:tc>
          <w:tcPr>
            <w:tcW w:type="dxa" w:w="1744"/>
          </w:tcPr>
          <w:p>
            <w:pPr>
              <w:pStyle w:val="MDPI42tablebody"/>
              <w:bidi w:val="0"/>
            </w:pPr>
            <w:r/>
            <w:r>
              <w:rPr>
                <w:sz w:val="20"/>
              </w:rPr>
              <w:t>+0.050</w:t>
            </w:r>
          </w:p>
        </w:tc>
        <w:tc>
          <w:tcPr>
            <w:tcW w:type="dxa" w:w="1744"/>
          </w:tcPr>
          <w:p>
            <w:pPr>
              <w:pStyle w:val="MDPI42tablebody"/>
              <w:bidi w:val="0"/>
            </w:pPr>
            <w:r/>
            <w:r>
              <w:rPr>
                <w:sz w:val="20"/>
              </w:rPr>
              <w:t>-0.017 to +0.118</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naive_tokbudget, r=0.7</w:t>
            </w:r>
          </w:p>
        </w:tc>
        <w:tc>
          <w:tcPr>
            <w:tcW w:type="dxa" w:w="1744"/>
          </w:tcPr>
          <w:p>
            <w:pPr>
              <w:pStyle w:val="MDPI42tablebody"/>
              <w:bidi w:val="0"/>
            </w:pPr>
            <w:r/>
            <w:r>
              <w:rPr>
                <w:sz w:val="20"/>
              </w:rPr>
              <w:t>0.665</w:t>
            </w:r>
          </w:p>
        </w:tc>
        <w:tc>
          <w:tcPr>
            <w:tcW w:type="dxa" w:w="1744"/>
          </w:tcPr>
          <w:p>
            <w:pPr>
              <w:pStyle w:val="MDPI42tablebody"/>
              <w:bidi w:val="0"/>
            </w:pPr>
            <w:r/>
            <w:r>
              <w:rPr>
                <w:sz w:val="20"/>
              </w:rPr>
              <w:t>0.612</w:t>
            </w:r>
          </w:p>
        </w:tc>
        <w:tc>
          <w:tcPr>
            <w:tcW w:type="dxa" w:w="1744"/>
          </w:tcPr>
          <w:p>
            <w:pPr>
              <w:pStyle w:val="MDPI42tablebody"/>
              <w:bidi w:val="0"/>
            </w:pPr>
            <w:r/>
            <w:r>
              <w:rPr>
                <w:sz w:val="20"/>
              </w:rPr>
              <w:t>+0.053</w:t>
            </w:r>
          </w:p>
        </w:tc>
        <w:tc>
          <w:tcPr>
            <w:tcW w:type="dxa" w:w="1744"/>
          </w:tcPr>
          <w:p>
            <w:pPr>
              <w:pStyle w:val="MDPI42tablebody"/>
              <w:bidi w:val="0"/>
            </w:pPr>
            <w:r/>
            <w:r>
              <w:rPr>
                <w:sz w:val="20"/>
              </w:rPr>
              <w:t>-0.001 to +0.111</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LLMLingua-2, r=0.3</w:t>
            </w:r>
          </w:p>
        </w:tc>
        <w:tc>
          <w:tcPr>
            <w:tcW w:type="dxa" w:w="1744"/>
          </w:tcPr>
          <w:p>
            <w:pPr>
              <w:pStyle w:val="MDPI42tablebody"/>
              <w:bidi w:val="0"/>
            </w:pPr>
            <w:r/>
            <w:r>
              <w:rPr>
                <w:sz w:val="20"/>
              </w:rPr>
              <w:t>0.652</w:t>
            </w:r>
          </w:p>
        </w:tc>
        <w:tc>
          <w:tcPr>
            <w:tcW w:type="dxa" w:w="1744"/>
          </w:tcPr>
          <w:p>
            <w:pPr>
              <w:pStyle w:val="MDPI42tablebody"/>
              <w:bidi w:val="0"/>
            </w:pPr>
            <w:r/>
            <w:r>
              <w:rPr>
                <w:sz w:val="20"/>
              </w:rPr>
              <w:t>0.440</w:t>
            </w:r>
          </w:p>
        </w:tc>
        <w:tc>
          <w:tcPr>
            <w:tcW w:type="dxa" w:w="1744"/>
          </w:tcPr>
          <w:p>
            <w:pPr>
              <w:pStyle w:val="MDPI42tablebody"/>
              <w:bidi w:val="0"/>
            </w:pPr>
            <w:r/>
            <w:r>
              <w:rPr>
                <w:sz w:val="20"/>
              </w:rPr>
              <w:t>+0.211</w:t>
            </w:r>
          </w:p>
        </w:tc>
        <w:tc>
          <w:tcPr>
            <w:tcW w:type="dxa" w:w="1744"/>
          </w:tcPr>
          <w:p>
            <w:pPr>
              <w:pStyle w:val="MDPI42tablebody"/>
              <w:bidi w:val="0"/>
            </w:pPr>
            <w:r/>
            <w:r>
              <w:rPr>
                <w:sz w:val="20"/>
              </w:rPr>
              <w:t>+0.142 to +0.280</w:t>
            </w:r>
          </w:p>
        </w:tc>
        <w:tc>
          <w:tcPr>
            <w:tcW w:type="dxa" w:w="1744"/>
          </w:tcPr>
          <w:p>
            <w:pPr>
              <w:pStyle w:val="MDPI42tablebody"/>
              <w:bidi w:val="0"/>
            </w:pPr>
            <w:r/>
            <w:r>
              <w:rPr>
                <w:sz w:val="20"/>
              </w:rPr>
              <w:t>&lt;0.0001</w:t>
            </w:r>
          </w:p>
        </w:tc>
      </w:tr>
      <w:tr>
        <w:tc>
          <w:tcPr>
            <w:tcW w:type="dxa" w:w="1744"/>
          </w:tcPr>
          <w:p>
            <w:pPr>
              <w:pStyle w:val="MDPI42tablebody"/>
              <w:bidi w:val="0"/>
            </w:pPr>
            <w:r/>
            <w:r>
              <w:rPr>
                <w:sz w:val="20"/>
              </w:rPr>
              <w:t>LSPM vs. LLMLingua-2, r=0.5</w:t>
            </w:r>
          </w:p>
        </w:tc>
        <w:tc>
          <w:tcPr>
            <w:tcW w:type="dxa" w:w="1744"/>
          </w:tcPr>
          <w:p>
            <w:pPr>
              <w:pStyle w:val="MDPI42tablebody"/>
              <w:bidi w:val="0"/>
            </w:pPr>
            <w:r/>
            <w:r>
              <w:rPr>
                <w:sz w:val="20"/>
              </w:rPr>
              <w:t>0.640</w:t>
            </w:r>
          </w:p>
        </w:tc>
        <w:tc>
          <w:tcPr>
            <w:tcW w:type="dxa" w:w="1744"/>
          </w:tcPr>
          <w:p>
            <w:pPr>
              <w:pStyle w:val="MDPI42tablebody"/>
              <w:bidi w:val="0"/>
            </w:pPr>
            <w:r/>
            <w:r>
              <w:rPr>
                <w:sz w:val="20"/>
              </w:rPr>
              <w:t>0.541</w:t>
            </w:r>
          </w:p>
        </w:tc>
        <w:tc>
          <w:tcPr>
            <w:tcW w:type="dxa" w:w="1744"/>
          </w:tcPr>
          <w:p>
            <w:pPr>
              <w:pStyle w:val="MDPI42tablebody"/>
              <w:bidi w:val="0"/>
            </w:pPr>
            <w:r/>
            <w:r>
              <w:rPr>
                <w:sz w:val="20"/>
              </w:rPr>
              <w:t>+0.099</w:t>
            </w:r>
          </w:p>
        </w:tc>
        <w:tc>
          <w:tcPr>
            <w:tcW w:type="dxa" w:w="1744"/>
          </w:tcPr>
          <w:p>
            <w:pPr>
              <w:pStyle w:val="MDPI42tablebody"/>
              <w:bidi w:val="0"/>
            </w:pPr>
            <w:r/>
            <w:r>
              <w:rPr>
                <w:sz w:val="20"/>
              </w:rPr>
              <w:t>+0.042 to +0.154</w:t>
            </w:r>
          </w:p>
        </w:tc>
        <w:tc>
          <w:tcPr>
            <w:tcW w:type="dxa" w:w="1744"/>
          </w:tcPr>
          <w:p>
            <w:pPr>
              <w:pStyle w:val="MDPI42tablebody"/>
              <w:bidi w:val="0"/>
            </w:pPr>
            <w:r/>
            <w:r>
              <w:rPr>
                <w:sz w:val="20"/>
              </w:rPr>
              <w:t>0.0021</w:t>
            </w:r>
          </w:p>
        </w:tc>
      </w:tr>
      <w:tr>
        <w:tc>
          <w:tcPr>
            <w:tcW w:type="dxa" w:w="1744"/>
            <w:tcBorders>
              <w:bottom w:val="single" w:sz="8" w:space="0" w:color="000000"/>
            </w:tcBorders>
          </w:tcPr>
          <w:p>
            <w:pPr>
              <w:pStyle w:val="MDPI42tablebody"/>
              <w:bidi w:val="0"/>
            </w:pPr>
            <w:r/>
            <w:r>
              <w:rPr>
                <w:sz w:val="20"/>
              </w:rPr>
              <w:t>LSPM vs. LLMLingua-2, r=0.7</w:t>
            </w:r>
          </w:p>
        </w:tc>
        <w:tc>
          <w:tcPr>
            <w:tcW w:type="dxa" w:w="1744"/>
            <w:tcBorders>
              <w:bottom w:val="single" w:sz="8" w:space="0" w:color="000000"/>
            </w:tcBorders>
          </w:tcPr>
          <w:p>
            <w:pPr>
              <w:pStyle w:val="MDPI42tablebody"/>
              <w:bidi w:val="0"/>
            </w:pPr>
            <w:r/>
            <w:r>
              <w:rPr>
                <w:sz w:val="20"/>
              </w:rPr>
              <w:t>0.665</w:t>
            </w:r>
          </w:p>
        </w:tc>
        <w:tc>
          <w:tcPr>
            <w:tcW w:type="dxa" w:w="1744"/>
            <w:tcBorders>
              <w:bottom w:val="single" w:sz="8" w:space="0" w:color="000000"/>
            </w:tcBorders>
          </w:tcPr>
          <w:p>
            <w:pPr>
              <w:pStyle w:val="MDPI42tablebody"/>
              <w:bidi w:val="0"/>
            </w:pPr>
            <w:r/>
            <w:r>
              <w:rPr>
                <w:sz w:val="20"/>
              </w:rPr>
              <w:t>0.619</w:t>
            </w:r>
          </w:p>
        </w:tc>
        <w:tc>
          <w:tcPr>
            <w:tcW w:type="dxa" w:w="1744"/>
            <w:tcBorders>
              <w:bottom w:val="single" w:sz="8" w:space="0" w:color="000000"/>
            </w:tcBorders>
          </w:tcPr>
          <w:p>
            <w:pPr>
              <w:pStyle w:val="MDPI42tablebody"/>
              <w:bidi w:val="0"/>
            </w:pPr>
            <w:r/>
            <w:r>
              <w:rPr>
                <w:sz w:val="20"/>
              </w:rPr>
              <w:t>+0.046</w:t>
            </w:r>
          </w:p>
        </w:tc>
        <w:tc>
          <w:tcPr>
            <w:tcW w:type="dxa" w:w="1744"/>
            <w:tcBorders>
              <w:bottom w:val="single" w:sz="8" w:space="0" w:color="000000"/>
            </w:tcBorders>
          </w:tcPr>
          <w:p>
            <w:pPr>
              <w:pStyle w:val="MDPI42tablebody"/>
              <w:bidi w:val="0"/>
            </w:pPr>
            <w:r/>
            <w:r>
              <w:rPr>
                <w:sz w:val="20"/>
              </w:rPr>
              <w:t>-0.002 to +0.094</w:t>
            </w:r>
          </w:p>
        </w:tc>
        <w:tc>
          <w:tcPr>
            <w:tcW w:type="dxa" w:w="1744"/>
            <w:tcBorders>
              <w:bottom w:val="single" w:sz="8" w:space="0" w:color="000000"/>
            </w:tcBorders>
          </w:tcPr>
          <w:p>
            <w:pPr>
              <w:pStyle w:val="MDPI42tablebody"/>
              <w:bidi w:val="0"/>
            </w:pPr>
            <w:r/>
            <w:r>
              <w:rPr>
                <w:sz w:val="20"/>
              </w:rPr>
              <w:t>0.0373</w:t>
            </w:r>
          </w:p>
        </w:tc>
      </w:tr>
    </w:tbl>
    <w:p>
      <w:pPr>
        <w:pStyle w:val="MDPI22heading2"/>
        <w:spacing w:before="240" w:after="60"/>
        <w:rPr/>
      </w:pPr>
      <w:r>
        <w:rPr/>
        <w:t xml:space="preserve">4.9. Generalization Check: A Second Generator (Qwen2.5-7B-Instruct)</w:t>
      </w:r>
    </w:p>
    <w:p>
      <w:pPr>
        <w:pStyle w:val="MDPI31text"/>
        <w:rPr/>
      </w:pPr>
      <w:r>
        <w:rPr/>
        <w:t xml:space="preserve">Under the protocol of Section 3.5.5, this generalization check produced 980 new generations against Qwen2.5-7B-Instruct [66] on the identical 140 questions used throughout Section 4.3.</w:t>
      </w:r>
    </w:p>
    <w:p>
      <w:pPr>
        <w:pStyle w:val="MDPI31text"/>
        <w:rPr/>
      </w:pPr>
      <w:r>
        <w:rPr/>
        <w:t xml:space="preserve">The raw (unpruned) condition attains mean F1 0.624 (95% CI 0.567-0.683) and mean EM 0.314 (95% CI 0.236-0.393) under Qwen2.5, comparable in magnitude to Llama-3.1's F1 0.666 and EM 0.293 on the same 140 questions (Section 4.3). LSPM's advantage over naive truncation replicates in direction at all three ratios (Table 7) and is significant on F1 after Holm-Bonferroni correction at both r = 0.3 and r = 0.5, one ratio more than the Llama-3.1 result reported in Section 4.3, which was significant only at r = 0.3. At r = 0.3, LSPM reaches F1 0.628 against naive truncation's 0.517, a paired difference of +0.112 (95% CI +0.053 to +0.171, Wilcoxon p = 0.00022, Holm-adjusted p = 0.00067); at r = 0.5, LSPM reaches 0.621 against 0.527, a difference of +0.094 (95% CI +0.034 to +0.154, p = 0.0023, adjusted p = 0.0046); at r = 0.7 the difference (+0.039, 95% CI -0.015 to +0.094, adjusted p = 0.133) is directionally consistent but not significant, matching the pattern already established for Llama-3.1 at this ratio. The corresponding EM differences are directionally positive at r = 0.3 and 0.5 (+0.043 and +0.021) and directionally negative but non-significant at r = 0.7 (-0.029), none significant after correction, again consistent with the EM pattern reported for Llama-3.1 in Section 4.3.</w:t>
      </w:r>
    </w:p>
    <w:p>
      <w:pPr>
        <w:pStyle w:val="MDPI31text"/>
        <w:rPr/>
      </w:pPr>
      <w:r>
        <w:rPr/>
        <w:t xml:space="preserve">The central r = 0.3 quality result of this paper therefore generalizes to a second generator family on token-F1, and does so at least as strongly as on the original generator: both the direction and, at r = 0.3 and now also r = 0.5, the statistical significance of LSPM's advantage over naive truncation replicate under Qwen2.5. This is one generator family beyond the one used throughout the rest of this paper, on the same retrieval pool and evaluation protocol, and should be read as initial evidence of generalization rather than a systematic study across generator families or model sizes; whether the result extends to substantially larger or smaller models, or to generators not instruction-tuned on comparable data, remains untested (Section 5).</w:t>
      </w:r>
    </w:p>
    <w:p>
      <w:pPr>
        <w:pStyle w:val="MDPI41tablecaption"/>
        <w:rPr/>
      </w:pPr>
      <w:r>
        <w:rPr>
          <w:b/>
        </w:rPr>
        <w:t xml:space="preserve">Table 7. Per-condition means for the ARCD ground-truth re-test replicated against Qwen2.5-7B-Instruct [66] (n = 140 questions per condition, 980 generations total, identical protocol and scorer to Table 2).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0.624</w:t>
            </w:r>
          </w:p>
        </w:tc>
        <w:tc>
          <w:tcPr>
            <w:tcW w:type="dxa" w:w="2093"/>
          </w:tcPr>
          <w:p>
            <w:pPr>
              <w:pStyle w:val="MDPI42tablebody"/>
              <w:bidi w:val="0"/>
            </w:pPr>
            <w:r/>
            <w:r>
              <w:rPr>
                <w:sz w:val="20"/>
              </w:rPr>
              <w:t>0.567-0.683</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0.628</w:t>
            </w:r>
          </w:p>
        </w:tc>
        <w:tc>
          <w:tcPr>
            <w:tcW w:type="dxa" w:w="2093"/>
          </w:tcPr>
          <w:p>
            <w:pPr>
              <w:pStyle w:val="MDPI42tablebody"/>
              <w:bidi w:val="0"/>
            </w:pPr>
            <w:r/>
            <w:r>
              <w:rPr>
                <w:sz w:val="20"/>
              </w:rPr>
              <w:t>0.570-0.687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0.271</w:t>
            </w:r>
          </w:p>
        </w:tc>
        <w:tc>
          <w:tcPr>
            <w:tcW w:type="dxa" w:w="2093"/>
          </w:tcPr>
          <w:p>
            <w:pPr>
              <w:pStyle w:val="MDPI42tablebody"/>
              <w:bidi w:val="0"/>
            </w:pPr>
            <w:r/>
            <w:r>
              <w:rPr>
                <w:sz w:val="20"/>
              </w:rPr>
              <w:t>0.200-0.343</w:t>
            </w:r>
          </w:p>
        </w:tc>
        <w:tc>
          <w:tcPr>
            <w:tcW w:type="dxa" w:w="2093"/>
          </w:tcPr>
          <w:p>
            <w:pPr>
              <w:pStyle w:val="MDPI42tablebody"/>
              <w:bidi w:val="0"/>
            </w:pPr>
            <w:r/>
            <w:r>
              <w:rPr>
                <w:sz w:val="20"/>
              </w:rPr>
              <w:t>0.517</w:t>
            </w:r>
          </w:p>
        </w:tc>
        <w:tc>
          <w:tcPr>
            <w:tcW w:type="dxa" w:w="2093"/>
          </w:tcPr>
          <w:p>
            <w:pPr>
              <w:pStyle w:val="MDPI42tablebody"/>
              <w:bidi w:val="0"/>
            </w:pPr>
            <w:r/>
            <w:r>
              <w:rPr>
                <w:sz w:val="20"/>
              </w:rPr>
              <w:t>0.453-0.582</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0.321</w:t>
            </w:r>
          </w:p>
        </w:tc>
        <w:tc>
          <w:tcPr>
            <w:tcW w:type="dxa" w:w="2093"/>
          </w:tcPr>
          <w:p>
            <w:pPr>
              <w:pStyle w:val="MDPI42tablebody"/>
              <w:bidi w:val="0"/>
            </w:pPr>
            <w:r/>
            <w:r>
              <w:rPr>
                <w:sz w:val="20"/>
              </w:rPr>
              <w:t>0.243-0.400</w:t>
            </w:r>
          </w:p>
        </w:tc>
        <w:tc>
          <w:tcPr>
            <w:tcW w:type="dxa" w:w="2093"/>
          </w:tcPr>
          <w:p>
            <w:pPr>
              <w:pStyle w:val="MDPI42tablebody"/>
              <w:bidi w:val="0"/>
            </w:pPr>
            <w:r/>
            <w:r>
              <w:rPr>
                <w:sz w:val="20"/>
              </w:rPr>
              <w:t>0.621</w:t>
            </w:r>
          </w:p>
        </w:tc>
        <w:tc>
          <w:tcPr>
            <w:tcW w:type="dxa" w:w="2093"/>
          </w:tcPr>
          <w:p>
            <w:pPr>
              <w:pStyle w:val="MDPI42tablebody"/>
              <w:bidi w:val="0"/>
            </w:pPr>
            <w:r/>
            <w:r>
              <w:rPr>
                <w:sz w:val="20"/>
              </w:rPr>
              <w:t>0.562-0.677</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0.300</w:t>
            </w:r>
          </w:p>
        </w:tc>
        <w:tc>
          <w:tcPr>
            <w:tcW w:type="dxa" w:w="2093"/>
          </w:tcPr>
          <w:p>
            <w:pPr>
              <w:pStyle w:val="MDPI42tablebody"/>
              <w:bidi w:val="0"/>
            </w:pPr>
            <w:r/>
            <w:r>
              <w:rPr>
                <w:sz w:val="20"/>
              </w:rPr>
              <w:t>0.221-0.379</w:t>
            </w:r>
          </w:p>
        </w:tc>
        <w:tc>
          <w:tcPr>
            <w:tcW w:type="dxa" w:w="2093"/>
          </w:tcPr>
          <w:p>
            <w:pPr>
              <w:pStyle w:val="MDPI42tablebody"/>
              <w:bidi w:val="0"/>
            </w:pPr>
            <w:r/>
            <w:r>
              <w:rPr>
                <w:sz w:val="20"/>
              </w:rPr>
              <w:t>0.527</w:t>
            </w:r>
          </w:p>
        </w:tc>
        <w:tc>
          <w:tcPr>
            <w:tcW w:type="dxa" w:w="2093"/>
          </w:tcPr>
          <w:p>
            <w:pPr>
              <w:pStyle w:val="MDPI42tablebody"/>
              <w:bidi w:val="0"/>
            </w:pPr>
            <w:r/>
            <w:r>
              <w:rPr>
                <w:sz w:val="20"/>
              </w:rPr>
              <w:t>0.460-0.592</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0.286</w:t>
            </w:r>
          </w:p>
        </w:tc>
        <w:tc>
          <w:tcPr>
            <w:tcW w:type="dxa" w:w="2093"/>
          </w:tcPr>
          <w:p>
            <w:pPr>
              <w:pStyle w:val="MDPI42tablebody"/>
              <w:bidi w:val="0"/>
            </w:pPr>
            <w:r/>
            <w:r>
              <w:rPr>
                <w:sz w:val="20"/>
              </w:rPr>
              <w:t>0.214-0.364</w:t>
            </w:r>
          </w:p>
        </w:tc>
        <w:tc>
          <w:tcPr>
            <w:tcW w:type="dxa" w:w="2093"/>
          </w:tcPr>
          <w:p>
            <w:pPr>
              <w:pStyle w:val="MDPI42tablebody"/>
              <w:bidi w:val="0"/>
            </w:pPr>
            <w:r/>
            <w:r>
              <w:rPr>
                <w:sz w:val="20"/>
              </w:rPr>
              <w:t>0.595</w:t>
            </w:r>
          </w:p>
        </w:tc>
        <w:tc>
          <w:tcPr>
            <w:tcW w:type="dxa" w:w="2093"/>
          </w:tcPr>
          <w:p>
            <w:pPr>
              <w:pStyle w:val="MDPI42tablebody"/>
              <w:bidi w:val="0"/>
            </w:pPr>
            <w:r/>
            <w:r>
              <w:rPr>
                <w:sz w:val="20"/>
              </w:rPr>
              <w:t>0.538-0.654</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0.314</w:t>
            </w:r>
          </w:p>
        </w:tc>
        <w:tc>
          <w:tcPr>
            <w:tcW w:type="dxa" w:w="2093"/>
            <w:tcBorders>
              <w:bottom w:val="single" w:sz="8" w:space="0" w:color="000000"/>
            </w:tcBorders>
          </w:tcPr>
          <w:p>
            <w:pPr>
              <w:pStyle w:val="MDPI42tablebody"/>
              <w:bidi w:val="0"/>
            </w:pPr>
            <w:r/>
            <w:r>
              <w:rPr>
                <w:sz w:val="20"/>
              </w:rPr>
              <w:t>0.236-0.393</w:t>
            </w:r>
          </w:p>
        </w:tc>
        <w:tc>
          <w:tcPr>
            <w:tcW w:type="dxa" w:w="2093"/>
            <w:tcBorders>
              <w:bottom w:val="single" w:sz="8" w:space="0" w:color="000000"/>
            </w:tcBorders>
          </w:tcPr>
          <w:p>
            <w:pPr>
              <w:pStyle w:val="MDPI42tablebody"/>
              <w:bidi w:val="0"/>
            </w:pPr>
            <w:r/>
            <w:r>
              <w:rPr>
                <w:sz w:val="20"/>
              </w:rPr>
              <w:t>0.556</w:t>
            </w:r>
          </w:p>
        </w:tc>
        <w:tc>
          <w:tcPr>
            <w:tcW w:type="dxa" w:w="2093"/>
            <w:tcBorders>
              <w:bottom w:val="single" w:sz="8" w:space="0" w:color="000000"/>
            </w:tcBorders>
          </w:tcPr>
          <w:p>
            <w:pPr>
              <w:pStyle w:val="MDPI42tablebody"/>
              <w:bidi w:val="0"/>
            </w:pPr>
            <w:r/>
            <w:r>
              <w:rPr>
                <w:sz w:val="20"/>
              </w:rPr>
              <w:t>0.490-0.619</w:t>
            </w:r>
          </w:p>
        </w:tc>
      </w:tr>
    </w:tbl>
    <w:p>
      <w:pPr>
        <w:pStyle w:val="MDPI22heading2"/>
        <w:spacing w:before="240" w:after="60"/>
        <w:rPr/>
      </w:pPr>
      <w:r>
        <w:rPr/>
        <w:t xml:space="preserve">4.10. Fresh-Seed Disjoint Replication of the r = 0.3 Result</w:t>
      </w:r>
    </w:p>
    <w:p>
      <w:pPr>
        <w:pStyle w:val="MDPI31text"/>
        <w:rPr/>
      </w:pPr>
      <w:r>
        <w:rPr/>
        <w:t xml:space="preserve">Under the protocol of Section 3.5.6, a programmatic check confirmed zero overlap between the 140 freshly sampled question ids and the original 140-question set, and the replication produced 420 new live generations (140 questions x 3 conditions).</w:t>
      </w:r>
    </w:p>
    <w:p>
      <w:pPr>
        <w:pStyle w:val="MDPI31text"/>
        <w:rPr/>
      </w:pPr>
      <w:r>
        <w:rPr/>
        <w:t xml:space="preserve">LSPM again scores significantly higher than naive truncation on token-F1 (Table 8): mean F1 0.6745 (95% CI 0.6164-0.7309) for LSPM versus 0.5317 (95% CI 0.4628-0.5988) for naive truncation, a paired difference of +0.1428 (95% CI +0.0819 to +0.2064, Wilcoxon p = 0.000041, Holm-Bonferroni-adjusted p = 0.000082 within the three-test family reported here, sign test 40+/16-, p = 0.0018). Naive truncation is in turn significantly worse than the raw, unpruned condition (mean F1 0.6939, 95% CI 0.6367-0.7488; paired difference -0.1622, 95% CI -0.2227 to -0.1035, Holm-adjusted p = 0.000006), while LSPM remains statistically equivalent to the unpruned answer under the same TOST margin used throughout this paper (paired mean difference -0.0194, equivalence p = 0.0349, margin +/-0.05 F1), and a two-sided Wilcoxon test finds no significant difference between LSPM and raw either (Holm-adjusted p = 0.286). The corresponding Exact Match difference between LSPM and naive truncation is directionally positive but, as at every ratio and generator already tested in this paper, not significant on its own (+0.0500, 95% CI -0.0071 to +0.1071, Wilcoxon p = 0.090).</w:t>
      </w:r>
    </w:p>
    <w:p>
      <w:pPr>
        <w:pStyle w:val="MDPI31text"/>
        <w:rPr/>
      </w:pPr>
      <w:r>
        <w:rPr/>
        <w:t xml:space="preserve">Every qualitative and quantitative feature of the original r = 0.3 result reproduces on this fresh, disjoint sample, and the effect is, if anything, larger here. The original n = 140 re-test found a paired LSPM-minus-naive F1 difference of +0.114 (Holm-adjusted p = 0.0067, Section 4.3), against +0.143 on this fresh sample (Holm-adjusted p = 0.000082); the original naive-versus-raw deficit was -0.129 (adjusted p = 0.0007) against -0.162 here (adjusted p = 0.000006); and the original TOST equivalence of LSPM to raw was p = 0.037 against p = 0.035 here, a near-exact match. Because none of these 140 questions were seen in the sample that produced the original result or in the pilot that set its sample size, and because the two samples were drawn with different random seeds and share no question identifiers, this replication is not subject to the data-dependent-stopping-rule concern raised in Section 3.4 and Section 5: it is a genuinely independent confirmatory test on new data, not a continuation of the same data. We accordingly no longer present the central r = 0.3 finding as awaiting independent confirmation; that confirmation is reported here, on a fresh sample, with the same generator and protocol, and the effect replicates in direction and, in every comparison, statistical strength.</w:t>
      </w:r>
    </w:p>
    <w:p>
      <w:pPr>
        <w:pStyle w:val="MDPI41tablecaption"/>
        <w:rPr/>
      </w:pPr>
      <w:r>
        <w:rPr>
          <w:b/>
        </w:rPr>
        <w:t xml:space="preserve">Table 8. Per-condition means for the fresh-seed disjoint replication of the r = 0.3 result (n = 140 freshly sampled ARCD questions sharing no question identifiers with the original 140; 420 generations total; identical protocol and scorer to Table 2, restricted to the three conditions this replication concerns).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0.357</w:t>
            </w:r>
          </w:p>
        </w:tc>
        <w:tc>
          <w:tcPr>
            <w:tcW w:type="dxa" w:w="2093"/>
          </w:tcPr>
          <w:p>
            <w:pPr>
              <w:pStyle w:val="MDPI42tablebody"/>
              <w:bidi w:val="0"/>
            </w:pPr>
            <w:r/>
            <w:r>
              <w:rPr>
                <w:sz w:val="20"/>
              </w:rPr>
              <w:t>0.279-0.436</w:t>
            </w:r>
          </w:p>
        </w:tc>
        <w:tc>
          <w:tcPr>
            <w:tcW w:type="dxa" w:w="2093"/>
          </w:tcPr>
          <w:p>
            <w:pPr>
              <w:pStyle w:val="MDPI42tablebody"/>
              <w:bidi w:val="0"/>
            </w:pPr>
            <w:r/>
            <w:r>
              <w:rPr>
                <w:sz w:val="20"/>
              </w:rPr>
              <w:t>0.694</w:t>
            </w:r>
          </w:p>
        </w:tc>
        <w:tc>
          <w:tcPr>
            <w:tcW w:type="dxa" w:w="2093"/>
          </w:tcPr>
          <w:p>
            <w:pPr>
              <w:pStyle w:val="MDPI42tablebody"/>
              <w:bidi w:val="0"/>
            </w:pPr>
            <w:r/>
            <w:r>
              <w:rPr>
                <w:sz w:val="20"/>
              </w:rPr>
              <w:t>0.637-0.749</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0.343</w:t>
            </w:r>
          </w:p>
        </w:tc>
        <w:tc>
          <w:tcPr>
            <w:tcW w:type="dxa" w:w="2093"/>
          </w:tcPr>
          <w:p>
            <w:pPr>
              <w:pStyle w:val="MDPI42tablebody"/>
              <w:bidi w:val="0"/>
            </w:pPr>
            <w:r/>
            <w:r>
              <w:rPr>
                <w:sz w:val="20"/>
              </w:rPr>
              <w:t>0.264-0.421</w:t>
            </w:r>
          </w:p>
        </w:tc>
        <w:tc>
          <w:tcPr>
            <w:tcW w:type="dxa" w:w="2093"/>
          </w:tcPr>
          <w:p>
            <w:pPr>
              <w:pStyle w:val="MDPI42tablebody"/>
              <w:bidi w:val="0"/>
            </w:pPr>
            <w:r/>
            <w:r>
              <w:rPr>
                <w:sz w:val="20"/>
              </w:rPr>
              <w:t>0.674</w:t>
            </w:r>
          </w:p>
        </w:tc>
        <w:tc>
          <w:tcPr>
            <w:tcW w:type="dxa" w:w="2093"/>
          </w:tcPr>
          <w:p>
            <w:pPr>
              <w:pStyle w:val="MDPI42tablebody"/>
              <w:bidi w:val="0"/>
            </w:pPr>
            <w:r/>
            <w:r>
              <w:rPr>
                <w:sz w:val="20"/>
              </w:rPr>
              <w:t>0.616-0.731</w:t>
            </w:r>
          </w:p>
        </w:tc>
      </w:tr>
      <w:tr>
        <w:tc>
          <w:tcPr>
            <w:tcW w:type="dxa" w:w="2093"/>
            <w:tcBorders>
              <w:bottom w:val="single" w:sz="8" w:space="0" w:color="000000"/>
            </w:tcBorders>
          </w:tcPr>
          <w:p>
            <w:pPr>
              <w:pStyle w:val="MDPI42tablebody"/>
              <w:bidi w:val="0"/>
            </w:pPr>
            <w:r/>
            <w:r>
              <w:rPr>
                <w:sz w:val="20"/>
              </w:rPr>
              <w:t>naive, r = 0.3</w:t>
            </w:r>
          </w:p>
        </w:tc>
        <w:tc>
          <w:tcPr>
            <w:tcW w:type="dxa" w:w="2093"/>
            <w:tcBorders>
              <w:bottom w:val="single" w:sz="8" w:space="0" w:color="000000"/>
            </w:tcBorders>
          </w:tcPr>
          <w:p>
            <w:pPr>
              <w:pStyle w:val="MDPI42tablebody"/>
              <w:bidi w:val="0"/>
            </w:pPr>
            <w:r/>
            <w:r>
              <w:rPr>
                <w:sz w:val="20"/>
              </w:rPr>
              <w:t>0.293</w:t>
            </w:r>
          </w:p>
        </w:tc>
        <w:tc>
          <w:tcPr>
            <w:tcW w:type="dxa" w:w="2093"/>
            <w:tcBorders>
              <w:bottom w:val="single" w:sz="8" w:space="0" w:color="000000"/>
            </w:tcBorders>
          </w:tcPr>
          <w:p>
            <w:pPr>
              <w:pStyle w:val="MDPI42tablebody"/>
              <w:bidi w:val="0"/>
            </w:pPr>
            <w:r/>
            <w:r>
              <w:rPr>
                <w:sz w:val="20"/>
              </w:rPr>
              <w:t>0.221-0.371</w:t>
            </w:r>
          </w:p>
        </w:tc>
        <w:tc>
          <w:tcPr>
            <w:tcW w:type="dxa" w:w="2093"/>
            <w:tcBorders>
              <w:bottom w:val="single" w:sz="8" w:space="0" w:color="000000"/>
            </w:tcBorders>
          </w:tcPr>
          <w:p>
            <w:pPr>
              <w:pStyle w:val="MDPI42tablebody"/>
              <w:bidi w:val="0"/>
            </w:pPr>
            <w:r/>
            <w:r>
              <w:rPr>
                <w:sz w:val="20"/>
              </w:rPr>
              <w:t>0.532</w:t>
            </w:r>
          </w:p>
        </w:tc>
        <w:tc>
          <w:tcPr>
            <w:tcW w:type="dxa" w:w="2093"/>
            <w:tcBorders>
              <w:bottom w:val="single" w:sz="8" w:space="0" w:color="000000"/>
            </w:tcBorders>
          </w:tcPr>
          <w:p>
            <w:pPr>
              <w:pStyle w:val="MDPI42tablebody"/>
              <w:bidi w:val="0"/>
            </w:pPr>
            <w:r/>
            <w:r>
              <w:rPr>
                <w:sz w:val="20"/>
              </w:rPr>
              <w:t>0.463-0.599</w:t>
            </w:r>
          </w:p>
        </w:tc>
      </w:tr>
    </w:tbl>
    <w:p>
      <w:pPr>
        <w:pStyle w:val="MDPI22heading2"/>
        <w:spacing w:before="240" w:after="60"/>
        <w:rPr/>
      </w:pPr>
      <w:r>
        <w:rPr/>
        <w:t xml:space="preserve">4.11. True End-to-End Online Serving Benchmark</w:t>
      </w:r>
    </w:p>
    <w:p>
      <w:pPr>
        <w:pStyle w:val="MDPI31text"/>
        <w:rPr/>
      </w:pPr>
      <w:r>
        <w:rPr>
          <w:highlight w:val="yellow"/>
        </w:rPr>
        <w:t xml:space="preserve">Under the protocol of Section 3.5.7, we reran the serving comparison with retrieval, cross-encoder scoring, and pruning executed live inside the request path against a self-hosted vLLM server on a single rented RTX 4090 with 48 GiB of VRAM, rather than reading an already-pruned context from a precomputed lookup as in Section 4.6. This is the concurrent-load, GPU-accelerated measurement that Section 3.1 identifies as still needed to complement its own CPU-only, single-request 506.1 ms figure, and it changes the picture: the pruning step's own latency running on GPU is far lower than on CPU (mean 34.3 ms at concurrency 1, averaged across r = 0.3/0.5/0.7, versus 506.1 ms on CPU), but once this cost is measured inside the live request path rather than excluded from it, LSPM's total-latency and throughput profile relative to raw, unpruned serving degrades sharply as concurrency rises, in contrast to Section 4.6's generation-only finding of no measurable penalty at any concurrency tested.</w:t>
      </w:r>
    </w:p>
    <w:p>
      <w:pPr>
        <w:pStyle w:val="MDPI41tablecaption"/>
        <w:rPr/>
      </w:pPr>
      <w:r>
        <w:rPr>
          <w:b/>
        </w:rPr>
        <w:t xml:space="preserve">Table 9. True end-to-end online serving benchmark at r = 0.5, four concurrency levels, 60 requests per (condition, concurrency) cell (protocol in Section 3.5.7). N is the count of requests that completed within the benchmark's timeout, out of 60 attempted. Latency and time-to-first-token (TTFT) figures are means in milliseconds; throughput is completed requests per second. Ratios r = 0.3 and r = 0.7 show the same qualitative pattern and are summarized narratively below rather than tabulated in full.</w:t>
      </w:r>
    </w:p>
    <w:tbl>
      <w:tblPr>
        <w:tblW w:type="auto" w:w="0"/>
        <w:tblLook w:firstColumn="1" w:firstRow="1" w:lastColumn="0" w:lastRow="0" w:noHBand="0" w:noVBand="1" w:val="04A0"/>
        <w:bidiVisual w:val="0"/>
      </w:tblPr>
      <w:tblGrid>
        <w:gridCol w:w="1495"/>
        <w:gridCol w:w="1495"/>
        <w:gridCol w:w="1495"/>
        <w:gridCol w:w="1495"/>
        <w:gridCol w:w="1495"/>
        <w:gridCol w:w="1495"/>
        <w:gridCol w:w="1495"/>
      </w:tblGrid>
      <w:tr>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Conc.</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N/60</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Pruning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TTFT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Total lat.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Throughput req/s</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38.8</w:t>
            </w:r>
          </w:p>
        </w:tc>
        <w:tc>
          <w:tcPr>
            <w:tcW w:type="dxa" w:w="1495"/>
          </w:tcPr>
          <w:p>
            <w:pPr>
              <w:pStyle w:val="MDPI42tablebody"/>
              <w:bidi w:val="0"/>
            </w:pPr>
            <w:r>
              <w:rPr>
                <w:highlight w:val="yellow"/>
              </w:rPr>
            </w:r>
            <w:r>
              <w:rPr>
                <w:sz w:val="20"/>
                <w:highlight w:val="yellow"/>
              </w:rPr>
              <w:t>381.8</w:t>
            </w:r>
          </w:p>
        </w:tc>
        <w:tc>
          <w:tcPr>
            <w:tcW w:type="dxa" w:w="1495"/>
          </w:tcPr>
          <w:p>
            <w:pPr>
              <w:pStyle w:val="MDPI42tablebody"/>
              <w:bidi w:val="0"/>
            </w:pPr>
            <w:r>
              <w:rPr>
                <w:highlight w:val="yellow"/>
              </w:rPr>
            </w:r>
            <w:r>
              <w:rPr>
                <w:sz w:val="20"/>
                <w:highlight w:val="yellow"/>
              </w:rPr>
              <w:t>2.62</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54.0</w:t>
            </w:r>
          </w:p>
        </w:tc>
        <w:tc>
          <w:tcPr>
            <w:tcW w:type="dxa" w:w="1495"/>
          </w:tcPr>
          <w:p>
            <w:pPr>
              <w:pStyle w:val="MDPI42tablebody"/>
              <w:bidi w:val="0"/>
            </w:pPr>
            <w:r>
              <w:rPr>
                <w:highlight w:val="yellow"/>
              </w:rPr>
            </w:r>
            <w:r>
              <w:rPr>
                <w:sz w:val="20"/>
                <w:highlight w:val="yellow"/>
              </w:rPr>
              <w:t>436.2</w:t>
            </w:r>
          </w:p>
        </w:tc>
        <w:tc>
          <w:tcPr>
            <w:tcW w:type="dxa" w:w="1495"/>
          </w:tcPr>
          <w:p>
            <w:pPr>
              <w:pStyle w:val="MDPI42tablebody"/>
              <w:bidi w:val="0"/>
            </w:pPr>
            <w:r>
              <w:rPr>
                <w:highlight w:val="yellow"/>
              </w:rPr>
            </w:r>
            <w:r>
              <w:rPr>
                <w:sz w:val="20"/>
                <w:highlight w:val="yellow"/>
              </w:rPr>
              <w:t>11.23</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64.8</w:t>
            </w:r>
          </w:p>
        </w:tc>
        <w:tc>
          <w:tcPr>
            <w:tcW w:type="dxa" w:w="1495"/>
          </w:tcPr>
          <w:p>
            <w:pPr>
              <w:pStyle w:val="MDPI42tablebody"/>
              <w:bidi w:val="0"/>
            </w:pPr>
            <w:r>
              <w:rPr>
                <w:highlight w:val="yellow"/>
              </w:rPr>
            </w:r>
            <w:r>
              <w:rPr>
                <w:sz w:val="20"/>
                <w:highlight w:val="yellow"/>
              </w:rPr>
              <w:t>399.6</w:t>
            </w:r>
          </w:p>
        </w:tc>
        <w:tc>
          <w:tcPr>
            <w:tcW w:type="dxa" w:w="1495"/>
          </w:tcPr>
          <w:p>
            <w:pPr>
              <w:pStyle w:val="MDPI42tablebody"/>
              <w:bidi w:val="0"/>
            </w:pPr>
            <w:r>
              <w:rPr>
                <w:highlight w:val="yellow"/>
              </w:rPr>
            </w:r>
            <w:r>
              <w:rPr>
                <w:sz w:val="20"/>
                <w:highlight w:val="yellow"/>
              </w:rPr>
              <w:t>22.85</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102.6</w:t>
            </w:r>
          </w:p>
        </w:tc>
        <w:tc>
          <w:tcPr>
            <w:tcW w:type="dxa" w:w="1495"/>
          </w:tcPr>
          <w:p>
            <w:pPr>
              <w:pStyle w:val="MDPI42tablebody"/>
              <w:bidi w:val="0"/>
            </w:pPr>
            <w:r>
              <w:rPr>
                <w:highlight w:val="yellow"/>
              </w:rPr>
            </w:r>
            <w:r>
              <w:rPr>
                <w:sz w:val="20"/>
                <w:highlight w:val="yellow"/>
              </w:rPr>
              <w:t>516.2</w:t>
            </w:r>
          </w:p>
        </w:tc>
        <w:tc>
          <w:tcPr>
            <w:tcW w:type="dxa" w:w="1495"/>
          </w:tcPr>
          <w:p>
            <w:pPr>
              <w:pStyle w:val="MDPI42tablebody"/>
              <w:bidi w:val="0"/>
            </w:pPr>
            <w:r>
              <w:rPr>
                <w:highlight w:val="yellow"/>
              </w:rPr>
            </w:r>
            <w:r>
              <w:rPr>
                <w:sz w:val="20"/>
                <w:highlight w:val="yellow"/>
              </w:rPr>
              <w:t>35.20</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33.3</w:t>
            </w:r>
          </w:p>
        </w:tc>
        <w:tc>
          <w:tcPr>
            <w:tcW w:type="dxa" w:w="1495"/>
          </w:tcPr>
          <w:p>
            <w:pPr>
              <w:pStyle w:val="MDPI42tablebody"/>
              <w:bidi w:val="0"/>
            </w:pPr>
            <w:r>
              <w:rPr>
                <w:highlight w:val="yellow"/>
              </w:rPr>
            </w:r>
            <w:r>
              <w:rPr>
                <w:sz w:val="20"/>
                <w:highlight w:val="yellow"/>
              </w:rPr>
              <w:t>65.7</w:t>
            </w:r>
          </w:p>
        </w:tc>
        <w:tc>
          <w:tcPr>
            <w:tcW w:type="dxa" w:w="1495"/>
          </w:tcPr>
          <w:p>
            <w:pPr>
              <w:pStyle w:val="MDPI42tablebody"/>
              <w:bidi w:val="0"/>
            </w:pPr>
            <w:r>
              <w:rPr>
                <w:highlight w:val="yellow"/>
              </w:rPr>
            </w:r>
            <w:r>
              <w:rPr>
                <w:sz w:val="20"/>
                <w:highlight w:val="yellow"/>
              </w:rPr>
              <w:t>409.1</w:t>
            </w:r>
          </w:p>
        </w:tc>
        <w:tc>
          <w:tcPr>
            <w:tcW w:type="dxa" w:w="1495"/>
          </w:tcPr>
          <w:p>
            <w:pPr>
              <w:pStyle w:val="MDPI42tablebody"/>
              <w:bidi w:val="0"/>
            </w:pPr>
            <w:r>
              <w:rPr>
                <w:highlight w:val="yellow"/>
              </w:rPr>
            </w:r>
            <w:r>
              <w:rPr>
                <w:sz w:val="20"/>
                <w:highlight w:val="yellow"/>
              </w:rPr>
              <w:t>2.44</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69.9</w:t>
            </w:r>
          </w:p>
        </w:tc>
        <w:tc>
          <w:tcPr>
            <w:tcW w:type="dxa" w:w="1495"/>
          </w:tcPr>
          <w:p>
            <w:pPr>
              <w:pStyle w:val="MDPI42tablebody"/>
              <w:bidi w:val="0"/>
            </w:pPr>
            <w:r>
              <w:rPr>
                <w:highlight w:val="yellow"/>
              </w:rPr>
            </w:r>
            <w:r>
              <w:rPr>
                <w:sz w:val="20"/>
                <w:highlight w:val="yellow"/>
              </w:rPr>
              <w:t>125.1</w:t>
            </w:r>
          </w:p>
        </w:tc>
        <w:tc>
          <w:tcPr>
            <w:tcW w:type="dxa" w:w="1495"/>
          </w:tcPr>
          <w:p>
            <w:pPr>
              <w:pStyle w:val="MDPI42tablebody"/>
              <w:bidi w:val="0"/>
            </w:pPr>
            <w:r>
              <w:rPr>
                <w:highlight w:val="yellow"/>
              </w:rPr>
            </w:r>
            <w:r>
              <w:rPr>
                <w:sz w:val="20"/>
                <w:highlight w:val="yellow"/>
              </w:rPr>
              <w:t>534.6</w:t>
            </w:r>
          </w:p>
        </w:tc>
        <w:tc>
          <w:tcPr>
            <w:tcW w:type="dxa" w:w="1495"/>
          </w:tcPr>
          <w:p>
            <w:pPr>
              <w:pStyle w:val="MDPI42tablebody"/>
              <w:bidi w:val="0"/>
            </w:pPr>
            <w:r>
              <w:rPr>
                <w:highlight w:val="yellow"/>
              </w:rPr>
            </w:r>
            <w:r>
              <w:rPr>
                <w:sz w:val="20"/>
                <w:highlight w:val="yellow"/>
              </w:rPr>
              <w:t>8.89</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54</w:t>
            </w:r>
          </w:p>
        </w:tc>
        <w:tc>
          <w:tcPr>
            <w:tcW w:type="dxa" w:w="1495"/>
          </w:tcPr>
          <w:p>
            <w:pPr>
              <w:pStyle w:val="MDPI42tablebody"/>
              <w:bidi w:val="0"/>
            </w:pPr>
            <w:r>
              <w:rPr>
                <w:highlight w:val="yellow"/>
              </w:rPr>
            </w:r>
            <w:r>
              <w:rPr>
                <w:sz w:val="20"/>
                <w:highlight w:val="yellow"/>
              </w:rPr>
              <w:t>191.3</w:t>
            </w:r>
          </w:p>
        </w:tc>
        <w:tc>
          <w:tcPr>
            <w:tcW w:type="dxa" w:w="1495"/>
          </w:tcPr>
          <w:p>
            <w:pPr>
              <w:pStyle w:val="MDPI42tablebody"/>
              <w:bidi w:val="0"/>
            </w:pPr>
            <w:r>
              <w:rPr>
                <w:highlight w:val="yellow"/>
              </w:rPr>
            </w:r>
            <w:r>
              <w:rPr>
                <w:sz w:val="20"/>
                <w:highlight w:val="yellow"/>
              </w:rPr>
              <w:t>248.5</w:t>
            </w:r>
          </w:p>
        </w:tc>
        <w:tc>
          <w:tcPr>
            <w:tcW w:type="dxa" w:w="1495"/>
          </w:tcPr>
          <w:p>
            <w:pPr>
              <w:pStyle w:val="MDPI42tablebody"/>
              <w:bidi w:val="0"/>
            </w:pPr>
            <w:r>
              <w:rPr>
                <w:highlight w:val="yellow"/>
              </w:rPr>
            </w:r>
            <w:r>
              <w:rPr>
                <w:sz w:val="20"/>
                <w:highlight w:val="yellow"/>
              </w:rPr>
              <w:t>612.8</w:t>
            </w:r>
          </w:p>
        </w:tc>
        <w:tc>
          <w:tcPr>
            <w:tcW w:type="dxa" w:w="1495"/>
          </w:tcPr>
          <w:p>
            <w:pPr>
              <w:pStyle w:val="MDPI42tablebody"/>
              <w:bidi w:val="0"/>
            </w:pPr>
            <w:r>
              <w:rPr>
                <w:highlight w:val="yellow"/>
              </w:rPr>
            </w:r>
            <w:r>
              <w:rPr>
                <w:sz w:val="20"/>
                <w:highlight w:val="yellow"/>
              </w:rPr>
              <w:t>13.53</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27</w:t>
            </w:r>
          </w:p>
        </w:tc>
        <w:tc>
          <w:tcPr>
            <w:tcW w:type="dxa" w:w="1495"/>
          </w:tcPr>
          <w:p>
            <w:pPr>
              <w:pStyle w:val="MDPI42tablebody"/>
              <w:bidi w:val="0"/>
            </w:pPr>
            <w:r>
              <w:rPr>
                <w:highlight w:val="yellow"/>
              </w:rPr>
            </w:r>
            <w:r>
              <w:rPr>
                <w:sz w:val="20"/>
                <w:highlight w:val="yellow"/>
              </w:rPr>
              <w:t>375.4</w:t>
            </w:r>
          </w:p>
        </w:tc>
        <w:tc>
          <w:tcPr>
            <w:tcW w:type="dxa" w:w="1495"/>
          </w:tcPr>
          <w:p>
            <w:pPr>
              <w:pStyle w:val="MDPI42tablebody"/>
              <w:bidi w:val="0"/>
            </w:pPr>
            <w:r>
              <w:rPr>
                <w:highlight w:val="yellow"/>
              </w:rPr>
            </w:r>
            <w:r>
              <w:rPr>
                <w:sz w:val="20"/>
                <w:highlight w:val="yellow"/>
              </w:rPr>
              <w:t>433.5</w:t>
            </w:r>
          </w:p>
        </w:tc>
        <w:tc>
          <w:tcPr>
            <w:tcW w:type="dxa" w:w="1495"/>
          </w:tcPr>
          <w:p>
            <w:pPr>
              <w:pStyle w:val="MDPI42tablebody"/>
              <w:bidi w:val="0"/>
            </w:pPr>
            <w:r>
              <w:rPr>
                <w:highlight w:val="yellow"/>
              </w:rPr>
            </w:r>
            <w:r>
              <w:rPr>
                <w:sz w:val="20"/>
                <w:highlight w:val="yellow"/>
              </w:rPr>
              <w:t>838.3</w:t>
            </w:r>
          </w:p>
        </w:tc>
        <w:tc>
          <w:tcPr>
            <w:tcW w:type="dxa" w:w="1495"/>
          </w:tcPr>
          <w:p>
            <w:pPr>
              <w:pStyle w:val="MDPI42tablebody"/>
              <w:bidi w:val="0"/>
            </w:pPr>
            <w:r>
              <w:rPr>
                <w:highlight w:val="yellow"/>
              </w:rPr>
            </w:r>
            <w:r>
              <w:rPr>
                <w:sz w:val="20"/>
                <w:highlight w:val="yellow"/>
              </w:rPr>
              <w:t>10.15</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37.8</w:t>
            </w:r>
          </w:p>
        </w:tc>
        <w:tc>
          <w:tcPr>
            <w:tcW w:type="dxa" w:w="1495"/>
          </w:tcPr>
          <w:p>
            <w:pPr>
              <w:pStyle w:val="MDPI42tablebody"/>
              <w:bidi w:val="0"/>
            </w:pPr>
            <w:r>
              <w:rPr>
                <w:highlight w:val="yellow"/>
              </w:rPr>
            </w:r>
            <w:r>
              <w:rPr>
                <w:sz w:val="20"/>
                <w:highlight w:val="yellow"/>
              </w:rPr>
              <w:t>278.3</w:t>
            </w:r>
          </w:p>
        </w:tc>
        <w:tc>
          <w:tcPr>
            <w:tcW w:type="dxa" w:w="1495"/>
          </w:tcPr>
          <w:p>
            <w:pPr>
              <w:pStyle w:val="MDPI42tablebody"/>
              <w:bidi w:val="0"/>
            </w:pPr>
            <w:r>
              <w:rPr>
                <w:highlight w:val="yellow"/>
              </w:rPr>
            </w:r>
            <w:r>
              <w:rPr>
                <w:sz w:val="20"/>
                <w:highlight w:val="yellow"/>
              </w:rPr>
              <w:t>3.59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53.3</w:t>
            </w:r>
          </w:p>
        </w:tc>
        <w:tc>
          <w:tcPr>
            <w:tcW w:type="dxa" w:w="1495"/>
          </w:tcPr>
          <w:p>
            <w:pPr>
              <w:pStyle w:val="MDPI42tablebody"/>
              <w:bidi w:val="0"/>
            </w:pPr>
            <w:r>
              <w:rPr>
                <w:highlight w:val="yellow"/>
              </w:rPr>
            </w:r>
            <w:r>
              <w:rPr>
                <w:sz w:val="20"/>
                <w:highlight w:val="yellow"/>
              </w:rPr>
              <w:t>309.0</w:t>
            </w:r>
          </w:p>
        </w:tc>
        <w:tc>
          <w:tcPr>
            <w:tcW w:type="dxa" w:w="1495"/>
          </w:tcPr>
          <w:p>
            <w:pPr>
              <w:pStyle w:val="MDPI42tablebody"/>
              <w:bidi w:val="0"/>
            </w:pPr>
            <w:r>
              <w:rPr>
                <w:highlight w:val="yellow"/>
              </w:rPr>
            </w:r>
            <w:r>
              <w:rPr>
                <w:sz w:val="20"/>
                <w:highlight w:val="yellow"/>
              </w:rPr>
              <w:t>14.69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60.3</w:t>
            </w:r>
          </w:p>
        </w:tc>
        <w:tc>
          <w:tcPr>
            <w:tcW w:type="dxa" w:w="1495"/>
          </w:tcPr>
          <w:p>
            <w:pPr>
              <w:pStyle w:val="MDPI42tablebody"/>
              <w:bidi w:val="0"/>
            </w:pPr>
            <w:r>
              <w:rPr>
                <w:highlight w:val="yellow"/>
              </w:rPr>
            </w:r>
            <w:r>
              <w:rPr>
                <w:sz w:val="20"/>
                <w:highlight w:val="yellow"/>
              </w:rPr>
              <w:t>301.2</w:t>
            </w:r>
          </w:p>
        </w:tc>
        <w:tc>
          <w:tcPr>
            <w:tcW w:type="dxa" w:w="1495"/>
          </w:tcPr>
          <w:p>
            <w:pPr>
              <w:pStyle w:val="MDPI42tablebody"/>
              <w:bidi w:val="0"/>
            </w:pPr>
            <w:r>
              <w:rPr>
                <w:highlight w:val="yellow"/>
              </w:rPr>
            </w:r>
            <w:r>
              <w:rPr>
                <w:sz w:val="20"/>
                <w:highlight w:val="yellow"/>
              </w:rPr>
              <w:t>28.91</w:t>
            </w:r>
          </w:p>
        </w:tc>
      </w:tr>
      <w:tr>
        <w:tc>
          <w:tcPr>
            <w:tcW w:type="dxa" w:w="1495"/>
            <w:tcBorders>
              <w:bottom w:val="single" w:sz="8" w:space="0" w:color="000000"/>
            </w:tcBorders>
          </w:tcPr>
          <w:p>
            <w:pPr>
              <w:pStyle w:val="MDPI42tablebody"/>
              <w:bidi w:val="0"/>
            </w:pPr>
            <w:r>
              <w:rPr>
                <w:highlight w:val="yellow"/>
              </w:rPr>
            </w:r>
            <w:r>
              <w:rPr>
                <w:sz w:val="20"/>
                <w:highlight w:val="yellow"/>
              </w:rPr>
              <w:t>naive</w:t>
            </w:r>
          </w:p>
        </w:tc>
        <w:tc>
          <w:tcPr>
            <w:tcW w:type="dxa" w:w="1495"/>
            <w:tcBorders>
              <w:bottom w:val="single" w:sz="8" w:space="0" w:color="000000"/>
            </w:tcBorders>
          </w:tcPr>
          <w:p>
            <w:pPr>
              <w:pStyle w:val="MDPI42tablebody"/>
              <w:bidi w:val="0"/>
            </w:pPr>
            <w:r>
              <w:rPr>
                <w:highlight w:val="yellow"/>
              </w:rPr>
            </w:r>
            <w:r>
              <w:rPr>
                <w:sz w:val="20"/>
                <w:highlight w:val="yellow"/>
              </w:rPr>
              <w:t>20</w:t>
            </w:r>
          </w:p>
        </w:tc>
        <w:tc>
          <w:tcPr>
            <w:tcW w:type="dxa" w:w="1495"/>
            <w:tcBorders>
              <w:bottom w:val="single" w:sz="8" w:space="0" w:color="000000"/>
            </w:tcBorders>
          </w:tcPr>
          <w:p>
            <w:pPr>
              <w:pStyle w:val="MDPI42tablebody"/>
              <w:bidi w:val="0"/>
            </w:pPr>
            <w:r>
              <w:rPr>
                <w:highlight w:val="yellow"/>
              </w:rPr>
            </w:r>
            <w:r>
              <w:rPr>
                <w:sz w:val="20"/>
                <w:highlight w:val="yellow"/>
              </w:rPr>
              <w:t>60</w:t>
            </w:r>
          </w:p>
        </w:tc>
        <w:tc>
          <w:tcPr>
            <w:tcW w:type="dxa" w:w="1495"/>
            <w:tcBorders>
              <w:bottom w:val="single" w:sz="8" w:space="0" w:color="000000"/>
            </w:tcBorders>
          </w:tcPr>
          <w:p>
            <w:pPr>
              <w:pStyle w:val="MDPI42tablebody"/>
              <w:bidi w:val="0"/>
            </w:pPr>
            <w:r>
              <w:rPr>
                <w:highlight w:val="yellow"/>
              </w:rPr>
            </w:r>
            <w:r>
              <w:rPr>
                <w:sz w:val="20"/>
                <w:highlight w:val="yellow"/>
              </w:rPr>
              <w:t>0.2</w:t>
            </w:r>
          </w:p>
        </w:tc>
        <w:tc>
          <w:tcPr>
            <w:tcW w:type="dxa" w:w="1495"/>
            <w:tcBorders>
              <w:bottom w:val="single" w:sz="8" w:space="0" w:color="000000"/>
            </w:tcBorders>
          </w:tcPr>
          <w:p>
            <w:pPr>
              <w:pStyle w:val="MDPI42tablebody"/>
              <w:bidi w:val="0"/>
            </w:pPr>
            <w:r>
              <w:rPr>
                <w:highlight w:val="yellow"/>
              </w:rPr>
            </w:r>
            <w:r>
              <w:rPr>
                <w:sz w:val="20"/>
                <w:highlight w:val="yellow"/>
              </w:rPr>
              <w:t>81.1</w:t>
            </w:r>
          </w:p>
        </w:tc>
        <w:tc>
          <w:tcPr>
            <w:tcW w:type="dxa" w:w="1495"/>
            <w:tcBorders>
              <w:bottom w:val="single" w:sz="8" w:space="0" w:color="000000"/>
            </w:tcBorders>
          </w:tcPr>
          <w:p>
            <w:pPr>
              <w:pStyle w:val="MDPI42tablebody"/>
              <w:bidi w:val="0"/>
            </w:pPr>
            <w:r>
              <w:rPr>
                <w:highlight w:val="yellow"/>
              </w:rPr>
            </w:r>
            <w:r>
              <w:rPr>
                <w:sz w:val="20"/>
                <w:highlight w:val="yellow"/>
              </w:rPr>
              <w:t>347.4</w:t>
            </w:r>
          </w:p>
        </w:tc>
        <w:tc>
          <w:tcPr>
            <w:tcW w:type="dxa" w:w="1495"/>
            <w:tcBorders>
              <w:bottom w:val="single" w:sz="8" w:space="0" w:color="000000"/>
            </w:tcBorders>
          </w:tcPr>
          <w:p>
            <w:pPr>
              <w:pStyle w:val="MDPI42tablebody"/>
              <w:bidi w:val="0"/>
            </w:pPr>
            <w:r>
              <w:rPr>
                <w:highlight w:val="yellow"/>
              </w:rPr>
            </w:r>
            <w:r>
              <w:rPr>
                <w:sz w:val="20"/>
                <w:highlight w:val="yellow"/>
              </w:rPr>
              <w:t>48.48</w:t>
            </w:r>
          </w:p>
        </w:tc>
      </w:tr>
    </w:tbl>
    <w:p>
      <w:pPr>
        <w:pStyle w:val="MDPI31text"/>
        <w:rPr/>
      </w:pPr>
      <w:r>
        <w:rPr>
          <w:highlight w:val="yellow"/>
        </w:rPr>
        <w:t xml:space="preserve">Averaged across the three ratios tested (r = 0.3, 0.5, 0.7), LSPM's throughput relative to raw serving falls from 93.0% at concurrency 1 to 85.1% at concurrency 5, then to 59.0% at concurrency 10 (where only 83.3% of LSPM requests complete within the timeout, versus 100% for raw) and 29.4% at concurrency 20 (only 43.3% of LSPM requests complete). Naive truncation does not show this degradation at r = 0.5 or r = 0.7, where its throughput is comparable to or higher than raw; at r = 0.3 naive truncation is itself markedly slower than raw (throughput ratio 0.36-0.52), an asymmetry we report here without further interpretation, as untangling its cause is outside this benchmark's scope. Taken together, this is the paper's most important open validation item, now closed with a measured, unfavorable-at-scale result rather than left as a stated gap: LSPM's zero-measurable-penalty finding in Section 4.6 holds specifically for the generation-only measurement it was designed to isolate, and does not extend to true end-to-end online serving under concurrent load, where the live cross-encoder scoring cost becomes a first-order bottleneck as concurrency increases.</w:t>
      </w:r>
    </w:p>
    <w:p>
      <w:pPr>
        <w:pStyle w:val="MDPI22heading2"/>
        <w:spacing w:before="240" w:after="60"/>
        <w:rPr/>
      </w:pPr>
      <w:r>
        <w:rPr/>
        <w:t xml:space="preserve">4.12. Controller versus Matched-Fixed-Ratio Comparison Under Memory Pressure</w:t>
      </w:r>
    </w:p>
    <w:p>
      <w:pPr>
        <w:pStyle w:val="MDPI31text"/>
        <w:rPr/>
      </w:pPr>
      <w:r>
        <w:rPr>
          <w:highlight w:val="yellow"/>
        </w:rPr>
        <w:t xml:space="preserve">Under the protocol of Section 3.5.8, we reran the dynamic controller and a fixed-ratio condition matched to the controller's own realized mean ratio back to back under the same constrained cache pool as Section 4.7's redesigned ablation, on the same RTX 4090 48 GiB card, logging every request's ratio, KV-cache occupancy, TTFT, and total latency. The run used the script's --skip-quality flag, so this comparison covers serving latency only.</w:t>
      </w:r>
    </w:p>
    <w:p>
      <w:pPr>
        <w:pStyle w:val="MDPI41tablecaption"/>
        <w:rPr/>
      </w:pPr>
      <w:r>
        <w:rPr>
          <w:b/>
        </w:rPr>
        <w:t xml:space="preserve">Table 10. Controller (dynamic) versus matched-fixed-ratio serving comparison under constrained cache pressure (protocol in Section 3.5.8). N is the count of completed requests logged for each condition over the run; the two conditions ran for the same wall-clock duration rather than the same request count. Latency and TTFT figures are means and 95th-percentile (p95) values in milliseconds.</w:t>
      </w:r>
    </w:p>
    <w:tbl>
      <w:tblPr>
        <w:tblW w:type="auto" w:w="0"/>
        <w:tblLook w:firstColumn="1" w:firstRow="1" w:lastColumn="0" w:lastRow="0" w:noHBand="0" w:noVBand="1" w:val="04A0"/>
        <w:bidiVisual w:val="0"/>
      </w:tblPr>
      <w:tblGrid>
        <w:gridCol w:w="1163"/>
        <w:gridCol w:w="1163"/>
        <w:gridCol w:w="1163"/>
        <w:gridCol w:w="1163"/>
        <w:gridCol w:w="1163"/>
        <w:gridCol w:w="1163"/>
        <w:gridCol w:w="1163"/>
        <w:gridCol w:w="1163"/>
        <w:gridCol w:w="1163"/>
      </w:tblGrid>
      <w:tr>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ratio</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Max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p95</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p95</w:t>
            </w:r>
          </w:p>
        </w:tc>
      </w:tr>
      <w:tr>
        <w:tc>
          <w:tcPr>
            <w:tcW w:type="dxa" w:w="1163"/>
          </w:tcPr>
          <w:p>
            <w:pPr>
              <w:pStyle w:val="MDPI42tablebody"/>
              <w:bidi w:val="0"/>
            </w:pPr>
            <w:r>
              <w:rPr>
                <w:highlight w:val="yellow"/>
              </w:rPr>
            </w:r>
            <w:r>
              <w:rPr>
                <w:sz w:val="20"/>
                <w:highlight w:val="yellow"/>
              </w:rPr>
              <w:t>dynamic</w:t>
            </w:r>
          </w:p>
        </w:tc>
        <w:tc>
          <w:tcPr>
            <w:tcW w:type="dxa" w:w="1163"/>
          </w:tcPr>
          <w:p>
            <w:pPr>
              <w:pStyle w:val="MDPI42tablebody"/>
              <w:bidi w:val="0"/>
            </w:pPr>
            <w:r>
              <w:rPr>
                <w:highlight w:val="yellow"/>
              </w:rPr>
            </w:r>
            <w:r>
              <w:rPr>
                <w:sz w:val="20"/>
                <w:highlight w:val="yellow"/>
              </w:rPr>
              <w:t>5,637</w:t>
            </w:r>
          </w:p>
        </w:tc>
        <w:tc>
          <w:tcPr>
            <w:tcW w:type="dxa" w:w="1163"/>
          </w:tcPr>
          <w:p>
            <w:pPr>
              <w:pStyle w:val="MDPI42tablebody"/>
              <w:bidi w:val="0"/>
            </w:pPr>
            <w:r>
              <w:rPr>
                <w:highlight w:val="yellow"/>
              </w:rPr>
            </w:r>
            <w:r>
              <w:rPr>
                <w:sz w:val="20"/>
                <w:highlight w:val="yellow"/>
              </w:rPr>
              <w:t>0.565 (0.2-0.8)</w:t>
            </w:r>
          </w:p>
        </w:tc>
        <w:tc>
          <w:tcPr>
            <w:tcW w:type="dxa" w:w="1163"/>
          </w:tcPr>
          <w:p>
            <w:pPr>
              <w:pStyle w:val="MDPI42tablebody"/>
              <w:bidi w:val="0"/>
            </w:pPr>
            <w:r>
              <w:rPr>
                <w:highlight w:val="yellow"/>
              </w:rPr>
            </w:r>
            <w:r>
              <w:rPr>
                <w:sz w:val="20"/>
                <w:highlight w:val="yellow"/>
              </w:rPr>
              <w:t>0.414</w:t>
            </w:r>
          </w:p>
        </w:tc>
        <w:tc>
          <w:tcPr>
            <w:tcW w:type="dxa" w:w="1163"/>
          </w:tcPr>
          <w:p>
            <w:pPr>
              <w:pStyle w:val="MDPI42tablebody"/>
              <w:bidi w:val="0"/>
            </w:pPr>
            <w:r>
              <w:rPr>
                <w:highlight w:val="yellow"/>
              </w:rPr>
            </w:r>
            <w:r>
              <w:rPr>
                <w:sz w:val="20"/>
                <w:highlight w:val="yellow"/>
              </w:rPr>
              <w:t>0.994</w:t>
            </w:r>
          </w:p>
        </w:tc>
        <w:tc>
          <w:tcPr>
            <w:tcW w:type="dxa" w:w="1163"/>
          </w:tcPr>
          <w:p>
            <w:pPr>
              <w:pStyle w:val="MDPI42tablebody"/>
              <w:bidi w:val="0"/>
            </w:pPr>
            <w:r>
              <w:rPr>
                <w:highlight w:val="yellow"/>
              </w:rPr>
            </w:r>
            <w:r>
              <w:rPr>
                <w:sz w:val="20"/>
                <w:highlight w:val="yellow"/>
              </w:rPr>
              <w:t>1,507.6</w:t>
            </w:r>
          </w:p>
        </w:tc>
        <w:tc>
          <w:tcPr>
            <w:tcW w:type="dxa" w:w="1163"/>
          </w:tcPr>
          <w:p>
            <w:pPr>
              <w:pStyle w:val="MDPI42tablebody"/>
              <w:bidi w:val="0"/>
            </w:pPr>
            <w:r>
              <w:rPr>
                <w:highlight w:val="yellow"/>
              </w:rPr>
            </w:r>
            <w:r>
              <w:rPr>
                <w:sz w:val="20"/>
                <w:highlight w:val="yellow"/>
              </w:rPr>
              <w:t>4,958.2</w:t>
            </w:r>
          </w:p>
        </w:tc>
        <w:tc>
          <w:tcPr>
            <w:tcW w:type="dxa" w:w="1163"/>
          </w:tcPr>
          <w:p>
            <w:pPr>
              <w:pStyle w:val="MDPI42tablebody"/>
              <w:bidi w:val="0"/>
            </w:pPr>
            <w:r>
              <w:rPr>
                <w:highlight w:val="yellow"/>
              </w:rPr>
            </w:r>
            <w:r>
              <w:rPr>
                <w:sz w:val="20"/>
                <w:highlight w:val="yellow"/>
              </w:rPr>
              <w:t>2,654.0</w:t>
            </w:r>
          </w:p>
        </w:tc>
        <w:tc>
          <w:tcPr>
            <w:tcW w:type="dxa" w:w="1163"/>
          </w:tcPr>
          <w:p>
            <w:pPr>
              <w:pStyle w:val="MDPI42tablebody"/>
              <w:bidi w:val="0"/>
            </w:pPr>
            <w:r>
              <w:rPr>
                <w:highlight w:val="yellow"/>
              </w:rPr>
            </w:r>
            <w:r>
              <w:rPr>
                <w:sz w:val="20"/>
                <w:highlight w:val="yellow"/>
              </w:rPr>
              <w:t>6,870.6</w:t>
            </w:r>
          </w:p>
        </w:tc>
      </w:tr>
      <w:tr>
        <w:tc>
          <w:tcPr>
            <w:tcW w:type="dxa" w:w="1163"/>
            <w:tcBorders>
              <w:bottom w:val="single" w:sz="8" w:space="0" w:color="000000"/>
            </w:tcBorders>
          </w:tcPr>
          <w:p>
            <w:pPr>
              <w:pStyle w:val="MDPI42tablebody"/>
              <w:bidi w:val="0"/>
            </w:pPr>
            <w:r>
              <w:rPr>
                <w:highlight w:val="yellow"/>
              </w:rPr>
            </w:r>
            <w:r>
              <w:rPr>
                <w:sz w:val="20"/>
                <w:highlight w:val="yellow"/>
              </w:rPr>
              <w:t>matched_fixed</w:t>
            </w:r>
          </w:p>
        </w:tc>
        <w:tc>
          <w:tcPr>
            <w:tcW w:type="dxa" w:w="1163"/>
            <w:tcBorders>
              <w:bottom w:val="single" w:sz="8" w:space="0" w:color="000000"/>
            </w:tcBorders>
          </w:tcPr>
          <w:p>
            <w:pPr>
              <w:pStyle w:val="MDPI42tablebody"/>
              <w:bidi w:val="0"/>
            </w:pPr>
            <w:r>
              <w:rPr>
                <w:highlight w:val="yellow"/>
              </w:rPr>
            </w:r>
            <w:r>
              <w:rPr>
                <w:sz w:val="20"/>
                <w:highlight w:val="yellow"/>
              </w:rPr>
              <w:t>6,299</w:t>
            </w:r>
          </w:p>
        </w:tc>
        <w:tc>
          <w:tcPr>
            <w:tcW w:type="dxa" w:w="1163"/>
            <w:tcBorders>
              <w:bottom w:val="single" w:sz="8" w:space="0" w:color="000000"/>
            </w:tcBorders>
          </w:tcPr>
          <w:p>
            <w:pPr>
              <w:pStyle w:val="MDPI42tablebody"/>
              <w:bidi w:val="0"/>
            </w:pPr>
            <w:r>
              <w:rPr>
                <w:highlight w:val="yellow"/>
              </w:rPr>
            </w:r>
            <w:r>
              <w:rPr>
                <w:sz w:val="20"/>
                <w:highlight w:val="yellow"/>
              </w:rPr>
              <w:t>0.565 (fixed)</w:t>
            </w:r>
          </w:p>
        </w:tc>
        <w:tc>
          <w:tcPr>
            <w:tcW w:type="dxa" w:w="1163"/>
            <w:tcBorders>
              <w:bottom w:val="single" w:sz="8" w:space="0" w:color="000000"/>
            </w:tcBorders>
          </w:tcPr>
          <w:p>
            <w:pPr>
              <w:pStyle w:val="MDPI42tablebody"/>
              <w:bidi w:val="0"/>
            </w:pPr>
            <w:r>
              <w:rPr>
                <w:highlight w:val="yellow"/>
              </w:rPr>
            </w:r>
            <w:r>
              <w:rPr>
                <w:sz w:val="20"/>
                <w:highlight w:val="yellow"/>
              </w:rPr>
              <w:t>0.516</w:t>
            </w:r>
          </w:p>
        </w:tc>
        <w:tc>
          <w:tcPr>
            <w:tcW w:type="dxa" w:w="1163"/>
            <w:tcBorders>
              <w:bottom w:val="single" w:sz="8" w:space="0" w:color="000000"/>
            </w:tcBorders>
          </w:tcPr>
          <w:p>
            <w:pPr>
              <w:pStyle w:val="MDPI42tablebody"/>
              <w:bidi w:val="0"/>
            </w:pPr>
            <w:r>
              <w:rPr>
                <w:highlight w:val="yellow"/>
              </w:rPr>
            </w:r>
            <w:r>
              <w:rPr>
                <w:sz w:val="20"/>
                <w:highlight w:val="yellow"/>
              </w:rPr>
              <w:t>0.995</w:t>
            </w:r>
          </w:p>
        </w:tc>
        <w:tc>
          <w:tcPr>
            <w:tcW w:type="dxa" w:w="1163"/>
            <w:tcBorders>
              <w:bottom w:val="single" w:sz="8" w:space="0" w:color="000000"/>
            </w:tcBorders>
          </w:tcPr>
          <w:p>
            <w:pPr>
              <w:pStyle w:val="MDPI42tablebody"/>
              <w:bidi w:val="0"/>
            </w:pPr>
            <w:r>
              <w:rPr>
                <w:highlight w:val="yellow"/>
              </w:rPr>
            </w:r>
            <w:r>
              <w:rPr>
                <w:sz w:val="20"/>
                <w:highlight w:val="yellow"/>
              </w:rPr>
              <w:t>1,525.5</w:t>
            </w:r>
          </w:p>
        </w:tc>
        <w:tc>
          <w:tcPr>
            <w:tcW w:type="dxa" w:w="1163"/>
            <w:tcBorders>
              <w:bottom w:val="single" w:sz="8" w:space="0" w:color="000000"/>
            </w:tcBorders>
          </w:tcPr>
          <w:p>
            <w:pPr>
              <w:pStyle w:val="MDPI42tablebody"/>
              <w:bidi w:val="0"/>
            </w:pPr>
            <w:r>
              <w:rPr>
                <w:highlight w:val="yellow"/>
              </w:rPr>
            </w:r>
            <w:r>
              <w:rPr>
                <w:sz w:val="20"/>
                <w:highlight w:val="yellow"/>
              </w:rPr>
              <w:t>3,783.3</w:t>
            </w:r>
          </w:p>
        </w:tc>
        <w:tc>
          <w:tcPr>
            <w:tcW w:type="dxa" w:w="1163"/>
            <w:tcBorders>
              <w:bottom w:val="single" w:sz="8" w:space="0" w:color="000000"/>
            </w:tcBorders>
          </w:tcPr>
          <w:p>
            <w:pPr>
              <w:pStyle w:val="MDPI42tablebody"/>
              <w:bidi w:val="0"/>
            </w:pPr>
            <w:r>
              <w:rPr>
                <w:highlight w:val="yellow"/>
              </w:rPr>
            </w:r>
            <w:r>
              <w:rPr>
                <w:sz w:val="20"/>
                <w:highlight w:val="yellow"/>
              </w:rPr>
              <w:t>2,880.4</w:t>
            </w:r>
          </w:p>
        </w:tc>
        <w:tc>
          <w:tcPr>
            <w:tcW w:type="dxa" w:w="1163"/>
            <w:tcBorders>
              <w:bottom w:val="single" w:sz="8" w:space="0" w:color="000000"/>
            </w:tcBorders>
          </w:tcPr>
          <w:p>
            <w:pPr>
              <w:pStyle w:val="MDPI42tablebody"/>
              <w:bidi w:val="0"/>
            </w:pPr>
            <w:r>
              <w:rPr>
                <w:highlight w:val="yellow"/>
              </w:rPr>
            </w:r>
            <w:r>
              <w:rPr>
                <w:sz w:val="20"/>
                <w:highlight w:val="yellow"/>
              </w:rPr>
              <w:t>7,302.7</w:t>
            </w:r>
          </w:p>
        </w:tc>
      </w:tr>
    </w:tbl>
    <w:p>
      <w:pPr>
        <w:pStyle w:val="MDPI31text"/>
        <w:rPr/>
      </w:pPr>
      <w:r>
        <w:rPr>
          <w:highlight w:val="yellow"/>
        </w:rPr>
        <w:t xml:space="preserve">The result is a mixed one, not a clean win for either arm: the dynamic controller has a lower mean TTFT (1,507.6 ms versus 1,525.5 ms), lower mean total latency (2,654.0 ms versus 2,880.4 ms), and a lower p95 total latency (6,870.6 ms versus 7,302.7 ms) than matched_fixed, but a substantially worse tail on time-to-first-token, with p95 TTFT 31% higher than matched_fixed (4,958.2 ms versus 3,783.3 ms). matched_fixed also completed more total requests over the same run duration (6,299 versus 5,637), consistent with its slightly higher mean occupancy (0.516 versus 0.414) reflecting a policy that, on average, retains a comparable amount of context with less adaptive overhead. Because --skip-quality was used, we have no answer-quality data at all for either condition in this run, so this comparison cannot establish whether the controller's adaptive behavior helps, hurts, or is neutral for answer quality relative to a fixed policy; it establishes only that, on serving latency alone, adapting the ratio is not a clear win over a well-chosen fixed ratio under this memory-pressure regime. This closes the comparison Section 4.7 left open, with a measured negative-to-mixed result rather than an unresolved gap, while leaving the answer-quality question for future work.</w:t>
      </w:r>
    </w:p>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The remainder of this section states, one at a time, what this paper does and does not establish, so that each qualification can be weighed on its own rather than absorbed into a single block.</w:t>
      </w:r>
    </w:p>
    <w:p>
      <w:pPr>
        <w:pStyle w:val="MDPI31text"/>
        <w:rPr/>
      </w:pPr>
      <w:r>
        <w:rPr>
          <w:b/>
        </w:rPr>
        <w:t xml:space="preserve">(1) Baseline strength. </w:t>
      </w:r>
      <w:r>
        <w:rPr/>
        <w:t xml:space="preserve">The LLMLingua-2 comparison, the most important missing experiment this paper identifies, has now been run (Section 4.8): LSPM significantly outperforms LLMLingua-2 [71] on token-F1 at all three ratios tested, on the same Arabic RAG workload, generator, retrieval pool, and questions used throughout this paper. This establishes that LSPM is not merely better than naive positional truncation but also better, on answer quality, than a genuine contemporary learned compressor on this workload. Two qualifications remain. First, the comparison measures answer quality only; it does not measure LLMLingua-2's pruning latency, end-to-end latency, throughput, or KV-cache footprint relative to LSPM, so a serving-cost comparison between the two methods, of the kind Section 4.6 provides between LSPM and naive truncation, is still missing. Second, DAC [72], ACC-RAG [73], and RECOMP itself remain uncompared; by 2024-2025 these, together with LLMLingua-2, define the state of the art in relevance-aware and adaptive compression, and a single favorable comparison against one baseline does not establish general competitiveness against the field.</w:t>
      </w:r>
    </w:p>
    <w:p>
      <w:pPr>
        <w:pStyle w:val="MDPI31text"/>
        <w:rPr/>
      </w:pPr>
      <w:r>
        <w:rPr>
          <w:b/>
        </w:rPr>
        <w:t xml:space="preserve">(2) Compression-efficiency fairness. </w:t>
      </w:r>
      <w:r>
        <w:rPr/>
        <w:t xml:space="preserve">The token-budget-matched rerun this comparison calls for has now been run (Section 4.8, naive_tokbudget condition): naive truncation is given the same token budget LSPM actually spent, not merely reconciled after the fact as the offline replay in Section 4.3 did, and LSPM's F1 advantage at r = 0.3 replicates under this stronger, budget-matched design (+0.140, Holm-adjusted p = 0.0003), with the same directional-but-non-significant pattern at r = 0.5 and r = 0.7 already seen in Section 4.3. The comparison this subsection originally called for is accordingly complete, and the answer is that the r = 0.3 advantage is not an artifact of an unequal token budget under either the sentence-matched design of Section 4.3 or the token-budget-matched design of Section 4.8.</w:t>
      </w:r>
    </w:p>
    <w:p>
      <w:pPr>
        <w:pStyle w:val="MDPI31text"/>
        <w:rPr/>
      </w:pPr>
      <w:r>
        <w:rPr>
          <w:b/>
          <w:highlight w:val="yellow"/>
        </w:rPr>
        <w:t xml:space="preserve">(3) Systems validation. </w:t>
      </w:r>
      <w:r>
        <w:rPr>
          <w:highlight w:val="yellow"/>
        </w:rPr>
        <w:t xml:space="preserve">The corrected protocol has now been executed (Section 4.6), so the earlier single-run, confounded sweep no longer carries any weight in this paper and its claims have been withdrawn in favour of the repeated result. The replacement benchmark removes the two identified confounds by precomputing pruned contexts outside the load generator and by shuffling all 105 cells before execution, and it reports per-cell uncertainty across three repeats. Two gaps in it remain and are disclosed rather than smoothed over. First, the released harness does not restart the vLLM server between blocks, so server-state drift is randomized by the shuffle but not eliminated. Second, and more consequentially, KV-cache occupancy never exceeded 8.8% of capacity in any of the 105 runs, so the benchmark establishes that semantic pruning imposes no generation-only serving-cost penalty (Section 3.1) on this hardware but does not test the regime of cache pressure in which the analytical KV-cache saving would actually translate into throughput or admission-control benefit; a sweep with longer contexts, a larger --max-model-len, a smaller GPU, or substantially higher concurrency is needed for that, and until it is run the memory-efficiency framing of Section 3.1's design remains a design objective supported by an analytical projection rather than a demonstrated operating-point benefit.</w:t>
      </w:r>
    </w:p>
    <w:p>
      <w:pPr>
        <w:pStyle w:val="MDPI31text"/>
        <w:rPr/>
      </w:pPr>
      <w:r>
        <w:rPr>
          <w:highlight w:val="yellow"/>
        </w:rPr>
        <w:t xml:space="preserve">Separately, Section 4.11's true end-to-end benchmark closes this result's generation-only scope directly: once the cross-encoder's own scoring cost is measured inside the live request path rather than excluded from it, LSPM shows a substantial, concurrency-dependent throughput and completion-rate penalty relative to raw serving on the same RTX 4090 hardware. The zero-measurable-penalty finding above should therefore be read narrowly, as a statement about generation cost alone at low KV-cache occupancy, not as a statement about total serving cost once the pruning step's own cost is included in the request path under concurrent load.</w:t>
      </w:r>
    </w:p>
    <w:p>
      <w:pPr>
        <w:pStyle w:val="MDPI31text"/>
        <w:rPr/>
      </w:pPr>
      <w:r>
        <w:rPr>
          <w:b/>
          <w:highlight w:val="yellow"/>
        </w:rPr>
        <w:t xml:space="preserve">(4) Dynamic controller. </w:t>
      </w:r>
      <w:r>
        <w:rPr>
          <w:highlight w:val="yellow"/>
        </w:rPr>
        <w:t xml:space="preserve">The controller ablation has been rerun (Section 4.7) under a redesigned protocol using real ARCD contexts and a deliberately constrained cache pool, specifically to reach the load regime the original ablation could not. Under that redesign, the controller's ratio ranged across its full configured span (0.20 to 0.80) and KV-cache occupancy reached 99.2%, so the adaptive mechanism is now shown to engage under real cache pressure rather than only in plumbing and stability, as the earlier, non-adaptive run had shown. What remains open has changed in kind rather than disappeared: the dynamic condition retained more context than the fixed r = 0.5 baseline throughout most of the redesigned run (per-step mean ratio 0.58-0.80, Table 5) and was, if anything, slower on TTFT and total latency overall, so this ablation does not establish that adapting the ratio improves throughput, tail latency, or answer quality relative to a fixed ratio; the two conditions remain unmatched on average retained context, and a fixed-r = 0.8 comparison, matching the dynamic condition's typical operating point, is the natural next experiment. Occupancy also did not track the intended concurrency ramp cleanly in the redesigned run (Section 4.7), a data-quality caveat disclosed there and carried forward here rather than smoothed over. Adaptive, input-dependent compression rates remain an active research direction, as ACC-RAG's complexity-conditioned rate selection illustrates; evaluating LSPM's controller against that kind of adaptive baseline is a further extension beyond the fixed-ratio comparison above.</w:t>
      </w:r>
    </w:p>
    <w:p>
      <w:pPr>
        <w:pStyle w:val="MDPI31text"/>
        <w:rPr/>
      </w:pPr>
      <w:r>
        <w:rPr>
          <w:highlight w:val="yellow"/>
        </w:rPr>
        <w:t xml:space="preserve">The matched fixed-ratio comparison this ablation called for has since been run (Section 4.12): under the same constrained cache pool, a fixed ratio set to the dynamic controller's own realized mean produces a mixed result on serving latency relative to the dynamic controller (lower mean TTFT and total latency for dynamic, lower p95 TTFT and more completed requests for matched_fixed), with no answer-quality data collected for either arm. Adapting the ratio is therefore not shown to outperform a well-chosen fixed ratio on the evidence now available, though it is not shown to be worse either; the comparison is closed on serving latency and remains open on answer quality.</w:t>
      </w:r>
    </w:p>
    <w:p>
      <w:pPr>
        <w:pStyle w:val="MDPI31text"/>
        <w:rPr/>
      </w:pPr>
      <w:r>
        <w:rPr>
          <w:b/>
        </w:rPr>
        <w:t xml:space="preserve">(4a) Complementary memory-reduction techniques not evaluated here. </w:t>
      </w:r>
      <w:r>
        <w:rPr/>
        <w:t xml:space="preserve">LSPM reduces the number of tokens entering the KV cache, but it has not been evaluated in combination with orthogonal techniques that instead reduce the cost of the tokens that do enter it, including post-training weight quantization such as GPTQ [74] and activation-aware weight quantization such as AWQ [75], direct KV-cache quantization such as KVQuant [76], and decoding-side acceleration via speculative decoding [77] and its multi-head or feature-level variants Medusa [78] and EAGLE [79]; because these techniques act on orthogonal axes (weight precision, cache precision, and decoding parallelism rather than retained-token count), stacking LSPM with one or more of them is a plausible way to compound memory savings, but the combination has not been measured and could in principle interact unfavorably, for example if a quantized KV cache changes the numerical behavior of the cross-encoder scoring step or if speculative decoding's draft-model assumptions are sensitive to the shorter, pruned contexts LSPM produces.</w:t>
      </w:r>
    </w:p>
    <w:p>
      <w:pPr>
        <w:pStyle w:val="MDPI31text"/>
        <w:rPr/>
      </w:pPr>
      <w:r>
        <w:rPr>
          <w:b/>
          <w:highlight w:val="yellow"/>
        </w:rPr>
        <w:t xml:space="preserve">(4b) Cross-encoder backend sensitivity. </w:t>
      </w:r>
      <w:r>
        <w:rPr>
          <w:highlight w:val="yellow"/>
        </w:rPr>
        <w:t xml:space="preserve">Every quality and serving-cost result in this paper's main evaluation (Sections 4.1-4.10) uses a single cross-encoder backend, cross-encoder/mmarco-mMiniLMv2-L12-H384-v1, chosen for interactive-latency scoring (Section 3.1). We additionally ran a targeted, smaller-scale check of sentence-selection agreement between this backend and the reference implementation's configurable BGE-reranker-v2-m3 alternative, on 20 of the 140 ARCD questions at r = 0.5: the two backends select substantially different sentence subsets (mean Jaccard overlap of the kept-sentence sets 0.449, median 0.429, with zero exact matches across the 20 questions), yet the gold-answer sentence survives pruning under both backends on 19 of 20 questions, and both backends agree on whether the answer survives on 19 of 20 questions. This check uses a substring match against the released gold answer as a proxy for answer preservation, not the paper's own token-F1 scorer, and covers 20 of 140 questions at a single ratio rather than the full grid, so it establishes that selection-level backend disagreement exists and is not obviously fatal to answer preservation on this subset, without establishing that the two backends are equivalent for the paper's headline F1 result or its serving-cost picture (Section 4.6-4.7): a larger or more accurate reranker could plausibly still improve selection quality at the cost of higher per-sentence scoring latency, changing the throughput/latency trade-off, and that full comparison remains future work.</w:t>
      </w:r>
    </w:p>
    <w:p>
      <w:pPr>
        <w:pStyle w:val="MDPI31text"/>
        <w:rPr/>
      </w:pPr>
      <w:r>
        <w:rPr>
          <w:b/>
        </w:rPr>
        <w:t xml:space="preserve">(5) Generalization. </w:t>
      </w:r>
      <w:r>
        <w:rPr/>
        <w:t xml:space="preserve">The principal fidelity and quality experiments use one instruction-tuned generator, Llama-3.1-8B-Instruct. A second generator, Qwen2.5-7B-Instruct [66], has now been tested under the identical ARCD protocol (Section 4.9): the r = 0.3 token-F1 advantage over naive truncation replicates in direction and significance, and at r = 0.5 it is significant under Qwen2.5 where it was not under Llama-3.1, so the central quality result is not an artifact of one generator family. This remains evidence from two related, similarly sized (7-8B parameter), instruction-tuned open-weight generators rather than a systematic study; whether the result extends to substantially larger or smaller models, closed models, or generators not instruction-tuned on comparable data is untested, and the end-to-end check still uses only one simple retriever (TF-IDF).</w:t>
      </w:r>
    </w:p>
    <w:p>
      <w:pPr>
        <w:pStyle w:val="MDPI31text"/>
        <w:rPr/>
      </w:pPr>
      <w:r>
        <w:rPr>
          <w:b/>
        </w:rPr>
        <w:t xml:space="preserve">(5a) Arabic variety. </w:t>
      </w:r>
      <w:r>
        <w:rPr/>
        <w:t xml:space="preserve">Every experiment in this paper uses Modern Standard Arabic. The 30-pair tokenization corpus is MSA, ARCD's questions and Wikipedia source paragraphs are MSA, and the end-to-end retrieval corpus is built from the same ARCD paragraphs, so the title's and Abstract's references to Arabic should be read as MSA throughout. This matters more for Arabic than the generic caveat about language varieties would suggest: CAMeLBERT showed that matching the variant of Arabic seen in pretraining to the variant seen downstream affects performance more than raw pretraining corpus size does [41], and every component of LSPM that could be variety-sensitive is a component we did not vary. The sentence splitter keys on MSA and Latin punctuation and would segment dialectal text written with inconsistent or absent terminal punctuation poorly; the cross-encoder is a multilingual MS MARCO reranker whose Arabic training signal is overwhelmingly MSA; and the tokenization-disparity ratio itself would be expected to differ for dialectal orthography, which is less represented in tokenizer training corpora than MSA. Whether the r = 0.3 advantage survives on Egyptian, Levantine, Gulf, or Maghrebi Arabic, or on mixed-variety and code-switched text, is untested and should not be assumed.</w:t>
      </w:r>
    </w:p>
    <w:p>
      <w:pPr>
        <w:pStyle w:val="MDPI31text"/>
        <w:rPr/>
      </w:pPr>
      <w:r>
        <w:rPr>
          <w:b/>
        </w:rPr>
        <w:t xml:space="preserve">(5b) Retrieval realism. </w:t>
      </w:r>
      <w:r>
        <w:rPr/>
        <w:t xml:space="preserve">The main ARCD re-test's candidate pool guarantees the gold paragraph's presence and draws its five distractors from unrelated articles (Section 3.4); this isolates post-retrieval sentence selection but is easier than a realistic setting where retrieval can fail and surviving distractors are often topically similar rather than unrelated. The results in Section 4.3 and Section 4.8 should accordingly be read as evidence about selection quality under controlled candidate-pool construction, not as a demonstrated end-to-end RAG accuracy result under realistic full-corpus retrieval. The end-to-end check (Section 4.4) relaxes the retrieval-failure half of this concern with a real TF-IDF retriever, but its 234-paragraph corpus is small and a single lexical retriever does not supply the harder, topically similar negatives a larger corpus or a BM25, dense, or hybrid retriever would. Repeating the ARCD comparison over a realistic, full-corpus retriever with topically similar hard negatives is identified here as a specific, not-yet-run experiment rather than folded into the main result's claimed scope.</w:t>
      </w:r>
    </w:p>
    <w:p>
      <w:pPr>
        <w:pStyle w:val="MDPI31text"/>
        <w:rPr/>
      </w:pPr>
      <w:r>
        <w:rPr>
          <w:b/>
        </w:rPr>
        <w:t xml:space="preserve">(6) Statistical scope. </w:t>
      </w:r>
      <w:r>
        <w:rPr/>
        <w:t xml:space="preserve">The significant result is concentrated at r = 0.3 and does not remain significant after correction at r = 0.5 or 0.7. An independent replication of r = 0.3 on a fresh, disjoint sample has now been run (Section 4.10) and reproduces the finding with the same or greater statistical strength; testing across additional datasets and retrieval regimes beyond ARCD would still be needed before generalizing the result past the conditions actually tested here. Two reporting gaps belong here as well. No standardized effect size (for example a rank-biserial correlation accompanying each Wilcoxon test) was computed by the released analysis pipeline for the n = 140 contrasts, so the differences in Section 4.3 are reported as unstandardized paired differences with bootstrap intervals only, and cross-study comparison or meta-analysis of those contrasts is correspondingly harder; adding them is a mechanical improvement for a future version of the analysis code. And the TOST equivalence margin of +/-0.05 F1 is asserted rather than derived from a smallest-effect-size-of-interest argument, which the equivalence-testing literature we cite treats as the substantive step [69]; a reader who disagrees with that margin should discount the equivalence claims accordingly.</w:t>
      </w:r>
    </w:p>
    <w:p>
      <w:pPr>
        <w:pStyle w:val="MDPI31text"/>
        <w:rPr/>
      </w:pPr>
      <w:r>
        <w:rPr/>
        <w:t xml:space="preserve">Taken together, these limitations mean that memory-efficient vLLM-based deployment remains this work's motivating design objective rather than a demonstrated result: it is now supported by a repeated benchmark showing </w:t>
      </w:r>
      <w:r>
        <w:rPr>
          <w:highlight w:val="yellow"/>
        </w:rPr>
        <w:t xml:space="preserve">a generation-only serving-cost result (Section 3.1) of zero measurable penalty relative to raw, </w:t>
      </w:r>
      <w:r>
        <w:rPr/>
        <w:t xml:space="preserve">rather than by a demonstrated memory-efficiency win at a realistic operating point; the context-selection result in Section 4.3 remains the part of this paper's contribution that is best supported. The GPU benchmark (Section 4.6) is now a real, repeated, randomized measurement that we do rely on, but for a deliberately narrow purpose: it establishes the absence of a throughput or TTFT penalty, and it does not establish a memory benefit, because the workload never approached cache saturation. </w:t>
      </w:r>
      <w:r>
        <w:rPr>
          <w:highlight w:val="yellow"/>
        </w:rPr>
        <w:t xml:space="preserve">A true end-to-end benchmark that includes the pruning step's own cost inside the live request path (Section 4.11) shows this generation-only result does not extend to concurrent-load online serving, where LSPM's throughput and completion rate degrade substantially as concurrency rises; and a matched controller-versus-fixed-ratio comparison under memory pressure (Section 4.12) finds a mixed serving-latency result with no answer-quality data, so neither open item is resolved in LSPM's favor. </w:t>
      </w:r>
      <w:r>
        <w:rPr/>
        <w:t xml:space="preserve">One qualification applies to the paper's strongest result and is stated here rather than buried in Methods. The n = 140 sample size was originally justified by a power calculation performed on the effect size observed in an earlier 40-question run, and those 40 questions are not a separate pilot but exactly the first 40 of the 140 (Section 3.4). That makes the justification circular, and observed power computed from one's own data is not a valid basis for asserting adequate power in the first place [70], so we no longer offer it: n = 140 is reported as a pragmatic sample size. The interpretive consequence is that the decision to extend the sample was taken after inspecting a subset of the same data, which is a data-dependent stopping rule and can inflate the Type I error rate of the resulting test to an extent this design does not let us quantify. We therefore do not present the original n = 140 result, taken alone, as an independently confirmed finding: it is a real, Holm-corrected, adequately intervalled result on 140 real questions with 980 real generations, and it is the best-supported claim in this paper, but on its own it remains a data-dependent continuation of the pilot that set its sample size. What removes that qualification is a separate, independent replication on a fresh, disjoint sample of 140 ARCD questions sharing no question identifiers with the original set or its pilot (Section 4.10): the same r = 0.3 advantage over naive truncation, and the same equivalence of LSPM to the unpruned answer, both reproduce there with equal or greater statistical strength, on data that could not have influenced the original sample-size decision. Taken together, the original result and this replication constitute independent confirmation of the central r = 0.3 finding, even though the original n = 140 test alone does not.</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Modern Standard Arabic sentence pairs), in line with the cross-linguistic tokenizer-fertility literature. All results reported here are Modern Standard Arabic results; dialectal Arabic was not tested (Section 5).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mean token-F1 0.652 vs. 0.537, paired difference +0.114, bootstrap 95% CI +0.056 to +0.176, Holm-Bonferroni-adjusted p = 0.0067), where LSPM is additionally equivalent to the unpruned answer (F1 0.666; TOST, n = 140, p = 0.037) while naive truncation is significantly worse (adjusted p = 0.0007); at more moderate ratios the comparison remains open. A real TF-IDF end-to-end check (n = 60) and a blind two-rater human evaluation (90 answers, mean correctness 1.80 for LSPM vs. 1.72 for raw and 1.55 for truncation on a 0-2 scale) both directionally reinforce this result. Prompt-token counts recomputed offline for all 980 cells with the generator's own tokenizer show that LSPM achieves this while consuming roughly 10% fewer prompt tokens than the truncation baseline it beats, so the advantage is not a token-budget artifact; feeding those measured token reductions through Llama-3.1-8B-Instruct's published KV-cache geometry (32 layers x 8 key-value heads x head dimension 128 x 2 tensors x 2 bytes = 128 KiB per token) yields an analytical saving of 57.4 to 125.5 MiB of KV cache per request across the three ratios tested. A corrected GPU benchmark on a self-hosted vLLM server, designed so its output is the one to be trusted (35 method-by-concurrency cells x 3 repeats = 105 runs, 191,652 requests, zero failures, randomized cell order, pruning moved out of the load generator), </w:t>
      </w:r>
      <w:r>
        <w:rPr>
          <w:highlight w:val="yellow"/>
        </w:rPr>
        <w:t xml:space="preserve">finds a generation-only serving-cost result (Section 3.1) of zero measurable penalty relative to raw: </w:t>
      </w:r>
      <w:r>
        <w:rPr/>
        <w:t xml:space="preserve">LSPM's throughput is within 3% of unpruned serving at every concurrency level tested and slightly ahead at 100 concurrent clients (55.7 vs. 54.1 req/s, with lower median and p95 TTFT), which removes the apparent throughput deficit that the earlier confounded run had reported. We deliberately stop short of a memory-efficiency claim from that sweep alone: KV-cache occupancy never exceeded 8.8% of capacity in it, so the regime in which the analytical saving would matter was not entered there. A redesigned controller ablation, using real contexts and a deliberately constrained cache pool, subsequently did reach that regime, driving occupancy up to 99.2% and the controller's ratio across its full configured range (0.20-0.80); the adaptive mechanism is accordingly now shown to engage under genuine cache pressure, though the dynamic condition retained more context than a fixed r = 0.5 comparison throughout most of that run and was not faster on TTFT or latency, so whether adapting the ratio helps, rather than merely occurring, was left open at that point. </w:t>
      </w:r>
      <w:r>
        <w:rPr>
          <w:highlight w:val="yellow"/>
        </w:rPr>
        <w:t xml:space="preserve">A follow-up comparison against a fixed ratio matched to the controller's own realized mean, run under the same cache pressure (Section 4.12), has since closed that question with a mixed result: the dynamic controller has lower mean TTFT and total latency, but a worse p95 TTFT and fewer completed requests than the matched fixed ratio, and no answer-quality data were collected for either arm, so adapting the ratio is not shown to be an improvement over a well-chosen fixed one. A separate true end-to-end online benchmark (Section 4.11), which scores and prunes context inside the live request path rather than reading it from a precomputed lookup, further finds that LSPM's throughput and completion rate degrade substantially relative to raw serving as concurrency rises, in contrast to the generation-only zero-measurable-penalty result reported above. </w:t>
      </w:r>
      <w:r>
        <w:rPr/>
        <w:t xml:space="preserve">We also closed the two most important remaining gaps: a token-budget-matched rerun, in which naive truncation receives the same per-question token budget LSPM actually spent, reproduces the r = 0.3 advantage (+0.140 F1, Holm-adjusted p = 0.0003), and a head-to-head comparison against LLMLingua-2, a modern learned compressor, finds LSPM significantly ahead on token-F1 at all three ratios tested, most convincingly at r = 0.3 and 0.5 (largest gap +0.211 at r = 0.3). The central r = 0.3 result also generalizes to a second generator, Qwen2.5-7B-Instruct, with the same or greater statistical strength than on the original generator. We release the implementation, evaluation code, and the datasets and outputs described in this paper (Data Availability Statement) to support independent reproduction and extension, including the significant, null, inconclusive, and not-yet-validated results alike. Finally, because the original n = 140 sample size was derived from an internal pilot that is a subset of the same 140 questions, we additionally ran an independent replication on 140 freshly sampled ARCD questions sharing no question identifiers with the original set (Section 4.10): the r = 0.3 advantage over naive truncation and the equivalence of LSPM to the unpruned answer both reproduce there with equal or greater statistical strength, so the central finding is now independently confirmed rather than resting on the original sample alone.</w:t>
      </w:r>
    </w:p>
    <w:p>
      <w:pPr>
        <w:pStyle w:val="MDPI62backmatter"/>
        <w:spacing w:before="240" w:after="120"/>
        <w:rPr/>
      </w:pPr>
      <w:r>
        <w:rPr>
          <w:b/>
        </w:rPr>
        <w:t xml:space="preserve">Supplementary Materials: </w:t>
      </w:r>
      <w:r>
        <w:rPr/>
        <w:t xml:space="preserve">The following supporting information can be downloaded at: https://www.mdpi.com/article/10.3390/xxxxx/s1, Table S1: full protocol and per-ratio ROUGE-L/BERTScore-F1 results for the n = 8 fidelity pilot (Section 4.2); Table S2: the full nine-test multiplicity-correction audit (raw and Holm-Bonferroni-adjusted p-values for every contrast in the nine-test family of Section 4.3); Table S3: full results of the original, superseded dynamic-controller ablation referenced in Section 4.7.</w:t>
      </w:r>
    </w:p>
    <w:p>
      <w:pPr>
        <w:pStyle w:val="MDPI62backmatter"/>
        <w:spacing w:before="240" w:after="120"/>
        <w:rPr/>
      </w:pPr>
      <w:r>
        <w:rPr>
          <w:b/>
        </w:rPr>
        <w:t xml:space="preserve">Author Contributions: </w:t>
      </w:r>
      <w:r>
        <w:rPr/>
        <w:t xml:space="preserve">Conceptualization, A.A.R.T.; methodology, A.A.R.T.; software, A.A.R.T.; validation, N.A.Z.; formal analysis, N.A.Z.; investigation, A.A.R.T.; resources, A.A.R.T. and N.A.Z.; data curation, N.A.Z.; writing - original draft preparation, A.A.R.T.; writing - review and editing, N.A.Z.; visualization, A.A.R.T. and N.A.Z.; supervision, N.A.Z.; project administration, N.A.Z. All authors have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hosted-API experiments were incurred against a free-tier allowance, and the GPU benchmark, controller ablation, true end-to-end online serving benchmark (Section 4.11), and controller-versus-matched-fixed-ratio comparison (Section 4.12) were run on rented single-GPU cloud instances at the authors' own expense.</w:t>
      </w:r>
    </w:p>
    <w:p>
      <w:pPr>
        <w:pStyle w:val="MDPI62backmatter"/>
        <w:spacing w:before="240" w:after="120"/>
        <w:rPr/>
      </w:pPr>
      <w:r>
        <w:rPr>
          <w:b/>
        </w:rPr>
        <w:t xml:space="preserve">Institutional Review Board Statement: </w:t>
      </w:r>
      <w:r>
        <w:rPr/>
        <w:t xml:space="preserve">Ethical review and approval by a formal committee were not required for this study. The only human involvement consisted of two adult volunteer bilingual annotators who rated already-generated machine text outputs for correctness and faithfulness; no clinical, physiological, or psychological intervention was performed on any participant, no personally identifiable, demographic, or otherwise sensitive data were collected, and no vulnerable population was involved. This risk profile places the task outside the scope of formal ethics committee review under the authors' institutional policy, consistent with the treatment of minimal-risk, non-interventional annotation and evaluation tasks common in NLP research.</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A separate written consent form was not administered because the task involved no more than minimal risk, collected no personally identifiable or sensitive information, and involved no deception; verbal consent, recorded by the researchers at the time, was judged sufficient documentation for a task of this risk profile.</w:t>
      </w:r>
    </w:p>
    <w:p>
      <w:pPr>
        <w:pStyle w:val="MDPI62backmatter"/>
        <w:spacing w:before="240" w:after="120"/>
        <w:rPr/>
      </w:pPr>
      <w:r>
        <w:rPr>
          <w:b/>
        </w:rPr>
        <w:t xml:space="preserve">Data Availability Statement: </w:t>
      </w:r>
      <w:r>
        <w:rPr/>
        <w:t xml:space="preserve">The datasets, evaluation outputs,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and the end-to-end retrieval check dataset and code. For the corrected GPU benchmark of Section 4.6, the complete raw per-cell artifacts of all 105 runs are released under results/sweep_v2/rep1, rep2, and rep3 (one Locust statistics file, statistics history, failure and exception log, and per-second vLLM /metrics scrape per cell), together with the harness that produced them (precompute_contexts.py, run_full_sweep.py --repeats 3) and the analysis script (analyze_sweep_results.py) that aggregates them into the released summary (results/sweep_summary_v2.csv) and the comparison figure reproduced as Figure 2 (results/sweep_comparison_v2.png); every number reported in Section 4.6 and in Tables 3 and 4 is recomputable from the released raw artifacts by re-running that script. For the controller ablation of Section 4.7, the full per-request logs of both conditions are released under results/controller_ablation (fixed_ratio_log.jsonl, 2,294 requests; dynamic_ratio_log.jsonl, 2,302 requests), each row recording the ratio used, the KV-cache occupancy read at request time, TTFT, and total latency, alongside the harness (run_controller_ablation.py). For the redesigned controller ablation of Section 4.7, the full per-request logs of both conditions are released under results/controller_ablation_v2 (fixed_ratio_log.jsonl, 653 requests; dynamic_ratio_log.jsonl, 655 requests), alongside the harness that produced them (benchmark/run_controller_ablation_v2.py); the earlier, non-adaptive ablation's logs remain available unchanged under results/controller_ablation for comparison. For the true end-to-end online serving benchmark of Section 4.11, the per-cell summary statistics for all three ratios tested are released as results/online_e2e_r03/summary.csv, results/online_e2e_r05/summary.csv, and results/online_e2e_r07/summary.csv, alongside the harness that produced them (benchmark/run_online_e2e_benchmark.py). For the controller-versus-matched-fixed-ratio comparison of Section 4.12, the full per-request logs of both conditions are released as results/controller_vs_matched/dynamic_log.jsonl (5,637 requests) and results/controller_vs_matched/matched_fixed_log.jsonl (6,299 requests), each row recording the condition, ratio in effect, KV-cache occupancy at request time, TTFT, and total latency, alongside the harness that produced them (scripts/run_controller_vs_matched_fixed.py); this run used the harness's --skip-quality flag, so no answer-quality logs accompany it. The token-budget-matched and modern-compression-baseline comparisons of Section 4.8 are released as data/arcd_token_budget_results.jsonl and data/arcd_llmlingua2_results.jsonl (140 questions x 3 ratios each, 420 rows), alongside the harnesses that produced them (scripts/run_arcd_token_budget.py, scripts/run_arcd_llmlingua2_baseline.py), and the Qwen2.5-7B-Instruct generalization check of Section 4.9 is released as data/arcd_qwen25_results.jsonl (140 questions x 7 conditions, 980 rows, scripts/run_arcd_qwen25_baseline.py). The fresh-seed disjoint replication of Section 4.10 is released as data/arcd_eval_set_replication.json (the 140 freshly sampled questions, verified to share no question identifiers with the original set) and data/arcd_replication_results.jsonl (140 questions x 3 conditions, 420 rows), together with the scripts that produced them (scripts/build_arcd_eval_set_replication.py, scripts/run_arcd_replication.py, scripts/score_arcd_replication.py). Every Exact Match and token-F1 figure in this paper, including Table 2, is computed with one scorer, released as scripts/score_arcd.py; a differently named scorer, eval/arabic_em_f1.py, is referenced by some internal analysis scripts but is not present in this released repository. The prompt-token counts of Section 4.3 are released as results/arcd_prompt_tokens.jsonl (one row per each of the 980 cells, recording context characters, retained sentences, context tokens, and full prompt tokens) together with the offline replay script that produced them (compute_prompt_tokens.py, which also re-verifies every reconstructed context against the character and sentence counts recorded by the live run) and the summary script that derives the reported means, paired differences, bootstrap intervals, and KV-cache byte projection (summarize_prompt_tokens.py). The repository also still contains the aggregated summary of the earlier, superseded single-run sweep (results/sweep_summary.csv); its per-request logs were generated on a temporary rented cloud instance and were not preserved, which is why this manuscript no longer draws on it for any claim. This repository was tagged and archived on Zenodo (version DOI: 10.5281/zenodo.22344200;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authors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authors have reviewed and edited the output and take full responsibility for the content of this publication.</w:t>
      </w:r>
    </w:p>
    <w:p>
      <w:pPr>
        <w:pStyle w:val="MDPI62backmatter"/>
        <w:spacing w:before="240" w:after="120"/>
        <w:rPr/>
      </w:pPr>
      <w:r>
        <w:rPr>
          <w:b/>
        </w:rPr>
        <w:t xml:space="preserve">Conflicts of Interest: </w:t>
      </w:r>
      <w:r>
        <w:rPr/>
        <w:t xml:space="preserve">The authors declare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Brown, T.B.; Mann, B.; Ryder, N.; Subbiah, M.; Kaplan, J.D.; Dhariwal, P.; Neelakantan, A.; Shyam, P.; Sastry, G.; Askell, A.; et al. Language Models are Few-Shot Learners. In Proceedings of the Advances in Neural Information Processing Systems (NeurIPS), 2020. https://doi.org/10.48550/arXiv.2005.14165.</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Sennrich, R.; Haddow, B.; Birch, A. Neural Machine Translation of Rare Words with Subword Units. In Proceedings of the 54th Annual Meeting of the Association for Computational Linguistics (ACL), 2016, pp. 1715-1725. https://doi.org/10.18653/v1/P16-1162.</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Jiang, H.; Wu, Q.; Luo, X.; Li, D.; Lin, C.-Y.; Yang, Y.; Qiu, L. LongLLMLingua: Accelerating and Enhancing LLMs in Long Context Scenarios via Prompt Compression. arXiv 2023, arXiv:2310.06839. https://doi.org/10.48550/arXiv.2310.06839.</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Chevalier, A.; Wettig, A.; Ajith, A.; Chen, D. Adapting Language Models to Compress Contexts. In Proceedings of the Conference on Empirical Methods in Natural Language Processing (EMNLP), 2023. https://doi.org/10.48550/arXiv.2305.14788.</w:t>
      </w:r>
    </w:p>
    <w:p>
      <w:pPr>
        <w:pStyle w:val="MDPI81references"/>
        <w:numPr>
          <w:ilvl w:val="0"/>
          <w:numId w:val="8"/>
        </w:numPr>
        <w:ind w:hanging="425" w:start="425"/>
        <w:rPr/>
      </w:pPr>
      <w:r>
        <w:t xml:space="preserve">Mu, J.; Li, X.L.; Goodman, N. Learning to Compress Prompts with Gist Tokens. In Proceedings of the Advances in Neural Information Processing Systems (NeurIPS), 2023. https://doi.org/10.48550/arXiv.2304.08467.</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Ahia, O.; Kumar, S.; Gonen, H.; Kasai, J.; Mortensen, D.; Smith, N.A.; Tsvetkov, Y. Do All Languages Cost the Same? Tokenization in the Era of Commercial Language Models. In Proceedings of the 2023 Conference on Empirical Methods in Natural Language Processing (EMNLP), 2023; pp. 9904-9923. https://doi.org/10.18653/v1/2023.emnlp-main.614.</w:t>
      </w:r>
    </w:p>
    <w:p>
      <w:pPr>
        <w:pStyle w:val="MDPI81references"/>
        <w:numPr>
          <w:ilvl w:val="0"/>
          <w:numId w:val="8"/>
        </w:numPr>
        <w:ind w:hanging="425" w:start="425"/>
        <w:rPr/>
      </w:pPr>
      <w:r>
        <w:t xml:space="preserve">Al-Khalifa, S.; Durrani, N.; Al-Khalifa, H.; Alam, F. The Landscape of Arabic Large Language Models (ALLMs): A New Era for Arabic Language Technology. Commun. ACM 2025. https://doi.org/10.1145/3737453.</w:t>
      </w:r>
    </w:p>
    <w:p>
      <w:pPr>
        <w:pStyle w:val="MDPI81references"/>
        <w:numPr>
          <w:ilvl w:val="0"/>
          <w:numId w:val="8"/>
        </w:numPr>
        <w:ind w:hanging="425" w:start="425"/>
        <w:rPr/>
      </w:pPr>
      <w:r>
        <w:t xml:space="preserve">Alkaoud, M.; Alsaqoub, M.; Aljodhi, I.; Alqadibi, A.; Altammami, O. ACLM: Developing a Compact Arabic Language Model. Int. Arab J. Inf. Technol. 2025, 22, 535-546. https://doi.org/10.34028/iajit/22/3/9.</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Rust, P.; Pfeiffer, J.; Vulic, I.; Ruder, S.; Gurevych, I. How Good is Your Tokenizer? On the Monolingual Performance of Multilingual Language Models. In Proceedings of the 59th Annual Meeting of the Association for Computational Linguistics and the 11th International Joint Conference on Natural Language Processing (ACL-IJCNLP), 2021; pp. 3118-3135. https://doi.org/10.18653/v1/2021.acl-long.243.</w:t>
      </w:r>
    </w:p>
    <w:p>
      <w:pPr>
        <w:pStyle w:val="MDPI81references"/>
        <w:numPr>
          <w:ilvl w:val="0"/>
          <w:numId w:val="8"/>
        </w:numPr>
        <w:ind w:hanging="425" w:start="425"/>
        <w:rPr/>
      </w:pPr>
      <w:r>
        <w:t xml:space="preserve">Petrov, A.; La Malfa, E.; Torr, P.H.S.; Bibi, A. Language Model Tokenizers Introduce Unfairness Between Languages. In Proceedings of the Advances in Neural Information Processing Systems (NeurIPS), 2023. https://doi.org/10.48550/arXiv.2305.15425.</w:t>
      </w:r>
    </w:p>
    <w:p>
      <w:pPr>
        <w:pStyle w:val="MDPI81references"/>
        <w:numPr>
          <w:ilvl w:val="0"/>
          <w:numId w:val="8"/>
        </w:numPr>
        <w:ind w:hanging="425" w:start="425"/>
        <w:rPr/>
      </w:pPr>
      <w:r>
        <w:t xml:space="preserve">Gao, Y.; Xiong, Y.; Gao, X.; Jia, K.; Pan, J.; Bi, Y.; Dai, Y.; Sun, J.; Wang, H. Retrieval-Augmented Generation for Large Language Models: A Survey. arXiv 2023, arXiv:2312.10997. https://doi.org/10.48550/arXiv.2312.10997.</w:t>
      </w:r>
    </w:p>
    <w:p>
      <w:pPr>
        <w:pStyle w:val="MDPI81references"/>
        <w:numPr>
          <w:ilvl w:val="0"/>
          <w:numId w:val="8"/>
        </w:numPr>
        <w:ind w:hanging="425" w:start="425"/>
        <w:rPr/>
      </w:pPr>
      <w:r>
        <w:t xml:space="preserve">Guu, K.; Lee, K.; Tung, Z.; Pasupat, P.; Chang, M.-W. REALM: Retrieval-Augmented Language Model Pre-Training. In Proceedings of the 37th International Conference on Machine Learning (ICML), 2020. https://doi.org/10.48550/arXiv.2002.08909.</w:t>
      </w:r>
    </w:p>
    <w:p>
      <w:pPr>
        <w:pStyle w:val="MDPI81references"/>
        <w:numPr>
          <w:ilvl w:val="0"/>
          <w:numId w:val="8"/>
        </w:numPr>
        <w:ind w:hanging="425" w:start="425"/>
        <w:rPr/>
      </w:pPr>
      <w:r>
        <w:t xml:space="preserve">Khandelwal, U.; Levy, O.; Jurafsky, D.; Zettlemoyer, L.; Lewis, M. Generalization through Memorization: Nearest Neighbor Language Models. In Proceedings of the International Conference on Learning Representations (ICLR), 2020. https://doi.org/10.48550/arXiv.1911.00172.</w:t>
      </w:r>
    </w:p>
    <w:p>
      <w:pPr>
        <w:pStyle w:val="MDPI81references"/>
        <w:numPr>
          <w:ilvl w:val="0"/>
          <w:numId w:val="8"/>
        </w:numPr>
        <w:ind w:hanging="425" w:start="425"/>
        <w:rPr/>
      </w:pPr>
      <w:r>
        <w:t xml:space="preserve">Izacard, G.; Grave, E. Leveraging Passage Retrieval with Generative Models for Open Domain Question Answering. In Proceedings of the 16th Conference of the European Chapter of the Association for Computational Linguistics (EACL), 2021, pp. 874-880. https://doi.org/10.48550/arXiv.2007.01282.</w:t>
      </w:r>
    </w:p>
    <w:p>
      <w:pPr>
        <w:pStyle w:val="MDPI81references"/>
        <w:numPr>
          <w:ilvl w:val="0"/>
          <w:numId w:val="8"/>
        </w:numPr>
        <w:ind w:hanging="425" w:start="425"/>
        <w:rPr/>
      </w:pPr>
      <w:r>
        <w:t xml:space="preserve">Ram, O.; Levine, Y.; Dalmedigos, I.; Muhlgay, D.; Shashua, A.; Leyton-Brown, K.; Shoham, Y. In-Context Retrieval-Augmented Language Models. Trans. Assoc. Comput. Linguist. 2023, 11, 1316-1331. https://doi.org/10.1162/tacl_a_00605.</w:t>
      </w:r>
    </w:p>
    <w:p>
      <w:pPr>
        <w:pStyle w:val="MDPI81references"/>
        <w:numPr>
          <w:ilvl w:val="0"/>
          <w:numId w:val="8"/>
        </w:numPr>
        <w:ind w:hanging="425" w:start="425"/>
        <w:rPr/>
      </w:pPr>
      <w:r>
        <w:t xml:space="preserve">Asai, A.; Wu, Z.; Wang, Y.; Sil, A.; Hajishirzi, H. Self-RAG: Learning to Retrieve, Generate, and Critique through Self-Reflection. In Proceedings of the International Conference on Learning Representations (ICLR), 2024. https://doi.org/10.48550/arXiv.2310.11511.</w:t>
      </w:r>
    </w:p>
    <w:p>
      <w:pPr>
        <w:pStyle w:val="MDPI81references"/>
        <w:numPr>
          <w:ilvl w:val="0"/>
          <w:numId w:val="8"/>
        </w:numPr>
        <w:ind w:hanging="425" w:start="425"/>
        <w:rPr/>
      </w:pPr>
      <w:r>
        <w:t xml:space="preserve">Jeong, S.; Baek, J.; Cho, S.; Hwang, S.J.; Park, J.C. Adaptive-RAG: Learning to Adapt Retrieval-Augmented Large Language Models through Question Complexity. In Proceedings of the Conference of the North American Chapter of the Association for Computational Linguistics (NAACL), 2024. https://doi.org/10.48550/arXiv.2403.14403.</w:t>
      </w:r>
    </w:p>
    <w:p>
      <w:pPr>
        <w:pStyle w:val="MDPI81references"/>
        <w:numPr>
          <w:ilvl w:val="0"/>
          <w:numId w:val="8"/>
        </w:numPr>
        <w:ind w:hanging="425" w:start="425"/>
        <w:rPr/>
      </w:pPr>
      <w:r>
        <w:t xml:space="preserve">Press, O.; Zhang, M.; Min, S.; Schmidt, L.; Smith, N.A.; Lewis, M. Measuring and Narrowing the Compositionality Gap in Language Models. In Findings of the Association for Computational Linguistics: EMNLP 2023. https://doi.org/10.48550/arXiv.2210.03350.</w:t>
      </w:r>
    </w:p>
    <w:p>
      <w:pPr>
        <w:pStyle w:val="MDPI81references"/>
        <w:numPr>
          <w:ilvl w:val="0"/>
          <w:numId w:val="8"/>
        </w:numPr>
        <w:ind w:hanging="425" w:start="425"/>
        <w:rPr/>
      </w:pPr>
      <w:r>
        <w:t xml:space="preserve">Robertson, S.; Zaragoza, H. The Probabilistic Relevance Framework: BM25 and Beyond. Found. Trends Inf. Retr. 2009, 3, 333-389. https://doi.org/10.1561/1500000019.</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Wang, L.; Yang, N.; Huang, X.; Yang, L.; Majumder, R.; Wei, F. Multilingual E5 Text Embeddings: A Technical Report. arXiv 2024, arXiv:2402.05672. https://doi.org/10.48550/arXiv.2402.05672.</w:t>
      </w:r>
    </w:p>
    <w:p>
      <w:pPr>
        <w:pStyle w:val="MDPI81references"/>
        <w:numPr>
          <w:ilvl w:val="0"/>
          <w:numId w:val="8"/>
        </w:numPr>
        <w:ind w:hanging="425" w:start="425"/>
        <w:rPr/>
      </w:pPr>
      <w:r>
        <w:t xml:space="preserve">Zhang, X.; Thakur, N.; Ogundepo, O.; Kamalloo, E.; Alfonso-Hermelo, D.; Li, X.; Liu, Q.; Rezagholizadeh, M.; Lin, J. MIRACL: A Multilingual Retrieval Dataset Covering 18 Diverse Languages. Trans. Assoc. Comput. Linguist. 2023, 11, 1114-1131. https://doi.org/10.1162/tacl_a_00595.</w:t>
      </w:r>
    </w:p>
    <w:p>
      <w:pPr>
        <w:pStyle w:val="MDPI81references"/>
        <w:numPr>
          <w:ilvl w:val="0"/>
          <w:numId w:val="8"/>
        </w:numPr>
        <w:ind w:hanging="425" w:start="425"/>
        <w:rPr/>
      </w:pPr>
      <w:r>
        <w:t xml:space="preserve">Muennighoff, N.; Tazi, N.; Magne, L.; Reimers, N. MTEB: Massive Text Embedding Benchmark. In Proceedings of the 17th Conference of the European Chapter of the Association for Computational Linguistics (EACL), 2023. https://doi.org/10.18653/v1/2023.eacl-main.148.</w:t>
      </w:r>
    </w:p>
    <w:p>
      <w:pPr>
        <w:pStyle w:val="MDPI81references"/>
        <w:numPr>
          <w:ilvl w:val="0"/>
          <w:numId w:val="8"/>
        </w:numPr>
        <w:ind w:hanging="425" w:start="425"/>
        <w:rPr/>
      </w:pPr>
      <w:r>
        <w:t xml:space="preserve">Johnson, J.; Douze, M.; Jegou, H. Billion-Scale Similarity Search with GPUs. IEEE Trans. Big Data 2021, 7, 535-547. https://doi.org/10.1109/TBDATA.2019.2921572.</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Antoun, W.; Baly, F.; Hajj, H. AraGPT2: Pre-Trained Transformer for Arabic Language Generation. In Proceedings of the 6th Arabic Natural Language Processing Workshop (WANLP), 2021. https://doi.org/10.48550/arXiv.2012.15520.</w:t>
      </w:r>
    </w:p>
    <w:p>
      <w:pPr>
        <w:pStyle w:val="MDPI81references"/>
        <w:numPr>
          <w:ilvl w:val="0"/>
          <w:numId w:val="8"/>
        </w:numPr>
        <w:ind w:hanging="425" w:start="425"/>
        <w:rPr/>
      </w:pPr>
      <w:r>
        <w:t xml:space="preserve">Nagoudi, E.M.B.; Elmadany, A.; Abdul-Mageed, M. AraT5: Text-to-Text Transformers for Arabic Language Generation. In Proceedings of the 60th Annual Meeting of the Association for Computational Linguistics (Volume 1: Long Papers), 2022, pp. 628-647. https://doi.org/10.48550/arXiv.2109.12068.</w:t>
      </w:r>
    </w:p>
    <w:p>
      <w:pPr>
        <w:pStyle w:val="MDPI81references"/>
        <w:numPr>
          <w:ilvl w:val="0"/>
          <w:numId w:val="8"/>
        </w:numPr>
        <w:ind w:hanging="425" w:start="425"/>
        <w:rPr/>
      </w:pPr>
      <w:r>
        <w:t xml:space="preserve">Inoue, G.; Alhafni, B.; Baimukan, N.; Bouamor, H.; Habash, N. The Interplay of Variant, Size, and Task Type in Arabic Pre-trained Language Models. In Proceedings of the Sixth Arabic Natural Language Processing Workshop (WANLP), 2021. https://doi.org/10.48550/arXiv.2103.06678.</w:t>
      </w:r>
    </w:p>
    <w:p>
      <w:pPr>
        <w:pStyle w:val="MDPI81references"/>
        <w:numPr>
          <w:ilvl w:val="0"/>
          <w:numId w:val="8"/>
        </w:numPr>
        <w:ind w:hanging="425" w:start="425"/>
        <w:rPr/>
      </w:pPr>
      <w:r>
        <w:t xml:space="preserve">Obeid, O.; Zalmout, N.; Khalifa, S.; Taji, D.; Oudah, M.; Alhafni, B.; Inoue, G.; Eryani, F.; Erdmann, A.; Habash, N. CAMeL Tools: An Open Source Python Toolkit for Arabic Natural Language Processing. In Proceedings of the 12th Language Resources and Evaluation Conference (LREC), 2020, pp. 7022-7032. https://doi.org/10.63317/295vncriwcn2.</w:t>
      </w:r>
    </w:p>
    <w:p>
      <w:pPr>
        <w:pStyle w:val="MDPI81references"/>
        <w:numPr>
          <w:ilvl w:val="0"/>
          <w:numId w:val="8"/>
        </w:numPr>
        <w:ind w:hanging="425" w:start="425"/>
        <w:rPr/>
      </w:pPr>
      <w:r>
        <w:t xml:space="preserve">Safaya, A.; Abdullatif, M.; Yuret, D. KUISAIL at SemEval-2020 Task 12: BERT-CNN for Offensive Speech Identification in Social Media. In Proceedings of the Fourteenth Workshop on Semantic Evaluation (SemEval-2020), 2020. https://doi.org/10.48550/arXiv.2007.13184.</w:t>
      </w:r>
    </w:p>
    <w:p>
      <w:pPr>
        <w:pStyle w:val="MDPI81references"/>
        <w:numPr>
          <w:ilvl w:val="0"/>
          <w:numId w:val="8"/>
        </w:numPr>
        <w:ind w:hanging="425" w:start="425"/>
        <w:rPr/>
      </w:pPr>
      <w:r>
        <w:t xml:space="preserve">Elmadany, A.; Nagoudi, E.M.B.; Abdul-Mageed, M. ORCA: A Challenging Benchmark for Arabic Language Understanding. In Findings of the Association for Computational Linguistics: ACL 2023. https://doi.org/10.48550/arXiv.2212.10758.</w:t>
      </w:r>
    </w:p>
    <w:p>
      <w:pPr>
        <w:pStyle w:val="MDPI81references"/>
        <w:numPr>
          <w:ilvl w:val="0"/>
          <w:numId w:val="8"/>
        </w:numPr>
        <w:ind w:hanging="425" w:start="425"/>
        <w:rPr/>
      </w:pPr>
      <w:r>
        <w:t xml:space="preserve">Seelawi, H.; Tuffaha, I.; Gzawi, M.; Farhan, W.; Talafha, B.; Badawi, R.; Sober, Z.; Al-Dweik, O.; Freihat, A.A.; Al-Natsheh, H. ALUE: Arabic Language Understanding Evaluation. In Proceedings of the Sixth Arabic Natural Language Processing Workshop (WANLP), 2021, pp. 173-184. Available online: https://aclanthology.org/2021.wanlp-1.18/ (accessed on 26 August 2026).</w:t>
      </w:r>
    </w:p>
    <w:p>
      <w:pPr>
        <w:pStyle w:val="MDPI81references"/>
        <w:numPr>
          <w:ilvl w:val="0"/>
          <w:numId w:val="8"/>
        </w:numPr>
        <w:ind w:hanging="425" w:start="425"/>
        <w:rPr/>
      </w:pPr>
      <w:r>
        <w:t xml:space="preserve">Koto, F.; Li, H.; Shatnawi, S.; Doughman, J.; Sadallah, A.B.; Alraeesi, A.; Almubarak, K.; Alyafeai, Z.; Sengupta, N.; Shehata, S.; et al. ArabicMMLU: Assessing Massive Multitask Language Understanding in Arabic. In Findings of the Association for Computational Linguistics: ACL 2024. https://doi.org/10.18653/v1/2024.findings-acl.334.</w:t>
      </w:r>
    </w:p>
    <w:p>
      <w:pPr>
        <w:pStyle w:val="MDPI81references"/>
        <w:numPr>
          <w:ilvl w:val="0"/>
          <w:numId w:val="8"/>
        </w:numPr>
        <w:ind w:hanging="425" w:start="425"/>
        <w:rPr/>
      </w:pPr>
      <w:r>
        <w:t xml:space="preserve">Huang, H.; Yu, F.; Zhu, J.; Sun, X.; Cheng, H.; Dingjie, S.; Chen, Z.; Alharthi, M.; An, B.; He, J.; et al. AceGPT, Localizing Large Language Models in Arabic. In Proceedings of the 2024 Conference of the North American Chapter of the Association for Computational Linguistics: Human Language Technologies (Volume 1: Long Papers), 2024, pp. 8139-8163. https://doi.org/10.18653/v1/2024.naacl-long.450.</w:t>
      </w:r>
    </w:p>
    <w:p>
      <w:pPr>
        <w:pStyle w:val="MDPI81references"/>
        <w:numPr>
          <w:ilvl w:val="0"/>
          <w:numId w:val="8"/>
        </w:numPr>
        <w:ind w:hanging="425" w:start="425"/>
        <w:rPr/>
      </w:pPr>
      <w:r>
        <w:t xml:space="preserve">Bandarkar, L.; Liang, D.; Muller, B.; Artetxe, M.; Shukla, S.N.; Husa, D.; Goyal, N.; Krishnan, A.; Zettlemoyer, L.; Khabsa, M. The Belebele Benchmark: A Parallel Reading Comprehension Dataset in 122 Language Variants. In Proceedings of the 62nd Annual Meeting of the Association for Computational Linguistics (ACL), 2024. https://doi.org/10.48550/arXiv.2308.16884.</w:t>
      </w:r>
    </w:p>
    <w:p>
      <w:pPr>
        <w:pStyle w:val="MDPI81references"/>
        <w:numPr>
          <w:ilvl w:val="0"/>
          <w:numId w:val="8"/>
        </w:numPr>
        <w:ind w:hanging="425" w:start="425"/>
        <w:rPr/>
      </w:pPr>
      <w:r>
        <w:t xml:space="preserve">Conneau, A.; Lample, G.; Rinott, R.; Williams, A.; Bowman, S.R.; Schwenk, H.; Stoyanov, V. XNLI: Evaluating Cross-Lingual Sentence Representations. In Proceedings of the Conference on Empirical Methods in Natural Language Processing (EMNLP), 2018. https://doi.org/10.48550/arXiv.1809.05053.</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Rajpurkar, P.; Zhang, J.; Lopyrev, K.; Liang, P. SQuAD: 100,000+ Questions for Machine Comprehension of Text. In Proceedings of the Conference on Empirical Methods in Natural Language Processing (EMNLP), 2016. https://doi.org/10.48550/arXiv.1606.05250.</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 pp. 521-538. Available online: https://www.usenix.org/conference/osdi22/presentation/yu (accessed on 26 August 2026).</w:t>
      </w:r>
    </w:p>
    <w:p>
      <w:pPr>
        <w:pStyle w:val="MDPI81references"/>
        <w:numPr>
          <w:ilvl w:val="0"/>
          <w:numId w:val="8"/>
        </w:numPr>
        <w:ind w:hanging="425" w:start="425"/>
        <w:rPr/>
      </w:pPr>
      <w:r>
        <w:t xml:space="preserve">Agrawal, A.; Kedia, N.; Panwar, A.; Mohan, J.; Kwatra, N.; Gulavani, B.S.; Tumanov, A.; Ramjee, R. Taming Throughput-Latency Tradeoff in LLM Inference with Sarathi-Serve. In Proceedings of the 18th USENIX Symposium on Operating Systems Design and Implementation (OSDI), 2024. https://doi.org/10.48550/arXiv.2403.02310.</w:t>
      </w:r>
    </w:p>
    <w:p>
      <w:pPr>
        <w:pStyle w:val="MDPI81references"/>
        <w:numPr>
          <w:ilvl w:val="0"/>
          <w:numId w:val="8"/>
        </w:numPr>
        <w:ind w:hanging="425" w:start="425"/>
        <w:rPr/>
      </w:pPr>
      <w:r>
        <w:t xml:space="preserve">Dao, T.; Fu, D.Y.; Ermon, S.; Rudra, A.; Re, C. FlashAttention: Fast and Memory-Efficient Exact Attention with IO-Awareness. In Proceedings of the Advances in Neural Information Processing Systems (NeurIPS), 2022. https://doi.org/10.52202/068431-1189.</w:t>
      </w:r>
    </w:p>
    <w:p>
      <w:pPr>
        <w:pStyle w:val="MDPI81references"/>
        <w:numPr>
          <w:ilvl w:val="0"/>
          <w:numId w:val="8"/>
        </w:numPr>
        <w:ind w:hanging="425" w:start="425"/>
        <w:rPr/>
      </w:pPr>
      <w:r>
        <w:t xml:space="preserve">Shazeer, N. Fast Transformer Decoding: One Write-Head is All You Need. arXiv 2019, arXiv:1911.02150. https://doi.org/10.48550/arXiv.1911.02150.</w:t>
      </w:r>
    </w:p>
    <w:p>
      <w:pPr>
        <w:pStyle w:val="MDPI81references"/>
        <w:numPr>
          <w:ilvl w:val="0"/>
          <w:numId w:val="8"/>
        </w:numPr>
        <w:ind w:hanging="425" w:start="425"/>
        <w:rPr/>
      </w:pPr>
      <w:r>
        <w:t xml:space="preserve">Ainslie, J.; Lee-Thorp, J.; de Jong, M.; Zemlyanskiy, Y.; Lebron, F.; Sanghai, S. GQA: Training Generalized Multi-Query Transformer Models from Multi-Head Checkpoints. In Proceedings of the Conference on Empirical Methods in Natural Language Processing (EMNLP), 2023. https://doi.org/10.48550/arXiv.2305.13245.</w:t>
      </w:r>
    </w:p>
    <w:p>
      <w:pPr>
        <w:pStyle w:val="MDPI81references"/>
        <w:numPr>
          <w:ilvl w:val="0"/>
          <w:numId w:val="8"/>
        </w:numPr>
        <w:ind w:hanging="425" w:start="425"/>
        <w:rPr/>
      </w:pPr>
      <w:r>
        <w:t xml:space="preserve">Papineni, K.; Roukos, S.; Ward, T.; Zhu, W.-J. BLEU: A Method for Automatic Evaluation of Machine Translation. In Proceedings of the 40th Annual Meeting of the Association for Computational Linguistics (ACL), 2002, pp. 311-318. https://doi.org/10.3115/1073083.1073135.</w:t>
      </w:r>
    </w:p>
    <w:p>
      <w:pPr>
        <w:pStyle w:val="MDPI81references"/>
        <w:numPr>
          <w:ilvl w:val="0"/>
          <w:numId w:val="8"/>
        </w:numPr>
        <w:ind w:hanging="425" w:start="425"/>
        <w:rPr/>
      </w:pPr>
      <w:r>
        <w:t xml:space="preserve">Lin, C.-Y. ROUGE: A Package for Automatic Evaluation of Summaries. In Text Summarization Branches Out: Proceedings of the ACL Workshop, 2004, pp. 74-81. Available online: https://aclanthology.org/W04-1013/ (accessed on 26 August 2026).</w:t>
      </w:r>
    </w:p>
    <w:p>
      <w:pPr>
        <w:pStyle w:val="MDPI81references"/>
        <w:numPr>
          <w:ilvl w:val="0"/>
          <w:numId w:val="8"/>
        </w:numPr>
        <w:ind w:hanging="425" w:start="425"/>
        <w:rPr/>
      </w:pPr>
      <w:r>
        <w:t xml:space="preserve">Zhang, T.; Kishore, V.; Wu, F.; Weinberger, K.Q.; Artzi, Y. BERTScore: Evaluating Text Generation with BERT. In Proceedings of the International Conference on Learning Representations (ICLR), 2020. https://doi.org/10.48550/arXiv.1904.09675.</w:t>
      </w:r>
    </w:p>
    <w:p>
      <w:pPr>
        <w:pStyle w:val="MDPI81references"/>
        <w:numPr>
          <w:ilvl w:val="0"/>
          <w:numId w:val="8"/>
        </w:numPr>
        <w:ind w:hanging="425" w:start="425"/>
        <w:rPr/>
      </w:pPr>
      <w:r>
        <w:t xml:space="preserve">Es, S.; James, J.; Espinosa Anke, L.; Schockaert, S. RAGAS: Automated Evaluation of Retrieval Augmented Generation. In Proceedings of the 18th Conference of the European Chapter of the Association for Computational Linguistics: System Demonstrations (EACL), 2024. https://doi.org/10.18653/v1/2024.eacl-demo.16.</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Wang, Z.; Araki, J.; Jiang, Z.; Parvez, M.R.; Neubig, G. Learning to Filter Context for Retrieval-Augmented Generation. arXiv 2023, arXiv:2311.08377. https://doi.org/10.48550/arXiv.2311.08377.</w:t>
      </w:r>
    </w:p>
    <w:p>
      <w:pPr>
        <w:pStyle w:val="MDPI81references"/>
        <w:numPr>
          <w:ilvl w:val="0"/>
          <w:numId w:val="8"/>
        </w:numPr>
        <w:ind w:hanging="425" w:start="425"/>
        <w:rPr/>
      </w:pPr>
      <w:r>
        <w:t xml:space="preserve">Hwang, T.; Jeong, S.; Cho, S.; Han, S.; Park, J. DSLR: Document Refinement with Sentence-Level Re-ranking and Reconstruction to Enhance Retrieval-Augmented Generation. In Proceedings of the 3rd Workshop on Knowledge Augmented Methods for NLP (KnowledgeNLP), 2024, pp. 73-92. https://doi.org/10.18653/v1/2024.knowledgenlp-1.6.</w:t>
      </w:r>
    </w:p>
    <w:p>
      <w:pPr>
        <w:pStyle w:val="MDPI81references"/>
        <w:numPr>
          <w:ilvl w:val="0"/>
          <w:numId w:val="8"/>
        </w:numPr>
        <w:ind w:hanging="425" w:start="425"/>
        <w:rPr/>
      </w:pPr>
      <w:r>
        <w:t xml:space="preserve">Mohamed, Y.; Elhoseiny, M.; Formal, T.; Chirkova, N. XProvence: Zero-Cost Multilingual Context Pruning for Retrieval-Augmented Generation. In Proceedings of the European Conference on Information Retrieval (ECIR), 2026. https://doi.org/10.48550/arXiv.2601.18886.</w:t>
      </w:r>
    </w:p>
    <w:p>
      <w:pPr>
        <w:pStyle w:val="MDPI81references"/>
        <w:numPr>
          <w:ilvl w:val="0"/>
          <w:numId w:val="8"/>
        </w:numPr>
        <w:ind w:hanging="425" w:start="425"/>
        <w:rPr/>
      </w:pPr>
      <w:r>
        <w:t xml:space="preserve">Cheng, X.; Wang, X.; Zhang, X.; Ge, T.; Chen, S.-Q.; Wei, F.; Zhang, H.; Zhao, D. xRAG: Extreme Context Compression for Retrieval-Augmented Generation with One Token. arXiv 2024, arXiv:2405.13792. https://doi.org/10.48550/arXiv.2405.13792.</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Schuirmann, D.J. A Comparison of the Two One-Sided Tests Procedure and the Power Approach for Assessing the Equivalence of Average Bioavailability. J. Pharmacokinet. Biopharm. 1987, 15, 657-680. https://doi.org/10.1007/BF01068419.</w:t>
      </w:r>
    </w:p>
    <w:p>
      <w:pPr>
        <w:pStyle w:val="MDPI81references"/>
        <w:numPr>
          <w:ilvl w:val="0"/>
          <w:numId w:val="8"/>
        </w:numPr>
        <w:ind w:hanging="425" w:start="425"/>
        <w:rPr/>
      </w:pPr>
      <w:r>
        <w:t xml:space="preserve">Lakens, D. Equivalence Tests: A Practical Primer for t Tests, Correlations, and Meta-Analyses. Soc. Psychol. Personal. Sci. 2017, 8, 355-362. https://doi.org/10.1177/1948550617697177.</w:t>
      </w:r>
    </w:p>
    <w:p>
      <w:pPr>
        <w:pStyle w:val="MDPI81references"/>
        <w:numPr>
          <w:ilvl w:val="0"/>
          <w:numId w:val="8"/>
        </w:numPr>
        <w:ind w:hanging="425" w:start="425"/>
        <w:rPr/>
      </w:pPr>
      <w:r>
        <w:t xml:space="preserve">Hoenig, J.M.; Heisey, D.M. The Abuse of Power: The Pervasive Fallacy of Power Calculations for Data Analysis. Am. Stat. 2001, 55, 19-24. https://doi.org/10.1198/000313001300339897.</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81references"/>
        <w:numPr>
          <w:ilvl w:val="0"/>
          <w:numId w:val="8"/>
        </w:numPr>
        <w:ind w:hanging="425" w:start="425"/>
        <w:rPr/>
      </w:pPr>
      <w:r>
        <w:t xml:space="preserve">Frantar, E.; Ashkboos, S.; Hoefler, T.; Alistarh, D. GPTQ: Accurate Post-Training Quantization for Generative Pre-trained Transformers. In Proceedings of the International Conference on Learning Representations (ICLR), 2023. https://doi.org/10.48550/arXiv.2210.17323.</w:t>
      </w:r>
    </w:p>
    <w:p>
      <w:pPr>
        <w:pStyle w:val="MDPI81references"/>
        <w:numPr>
          <w:ilvl w:val="0"/>
          <w:numId w:val="8"/>
        </w:numPr>
        <w:ind w:hanging="425" w:start="425"/>
        <w:rPr/>
      </w:pPr>
      <w:r>
        <w:t xml:space="preserve">Lin, J.; Tang, J.; Tang, H.; Yang, S.; Chen, W.-M.; Wang, W.-C.; Xiao, G.; Dang, X.; Gan, C.; Han, S. AWQ: Activation-Aware Weight Quantization for LLM Compression and Acceleration. In Proceedings of Machine Learning and Systems (MLSys), 2024. https://doi.org/10.48550/arXiv.2306.00978.</w:t>
      </w:r>
    </w:p>
    <w:p>
      <w:pPr>
        <w:pStyle w:val="MDPI81references"/>
        <w:numPr>
          <w:ilvl w:val="0"/>
          <w:numId w:val="8"/>
        </w:numPr>
        <w:ind w:hanging="425" w:start="425"/>
        <w:rPr/>
      </w:pPr>
      <w:r>
        <w:t xml:space="preserve">Hooper, C.; Kim, S.; Mohammadzadeh, H.; Mahoney, M.W.; Shao, Y.S.; Keutzer, K.; Gholami, A. KVQuant: Towards 10 Million Context Length LLM Inference with KV Cache Quantization. arXiv 2024, arXiv:2401.18079. https://doi.org/10.48550/arXiv.2401.18079.</w:t>
      </w:r>
    </w:p>
    <w:p>
      <w:pPr>
        <w:pStyle w:val="MDPI81references"/>
        <w:numPr>
          <w:ilvl w:val="0"/>
          <w:numId w:val="8"/>
        </w:numPr>
        <w:ind w:hanging="425" w:start="425"/>
        <w:rPr/>
      </w:pPr>
      <w:r>
        <w:t xml:space="preserve">Leviathan, Y.; Kalman, M.; Matias, Y. Fast Inference from Transformers via Speculative Decoding. In Proceedings of the 40th International Conference on Machine Learning (ICML), 2023. https://doi.org/10.48550/arXiv.2211.17192.</w:t>
      </w:r>
    </w:p>
    <w:p>
      <w:pPr>
        <w:pStyle w:val="MDPI81references"/>
        <w:numPr>
          <w:ilvl w:val="0"/>
          <w:numId w:val="8"/>
        </w:numPr>
        <w:ind w:hanging="425" w:start="425"/>
        <w:rPr/>
      </w:pPr>
      <w:r>
        <w:t xml:space="preserve">Cai, T.; Li, Y.; Geng, Z.; Peng, H.; Lee, J.D.; Chen, D.; Dao, T. Medusa: Simple LLM Inference Acceleration Framework with Multiple Decoding Heads. arXiv 2024, arXiv:2401.10774. https://doi.org/10.48550/arXiv.2401.10774.</w:t>
      </w:r>
    </w:p>
    <w:p>
      <w:pPr>
        <w:pStyle w:val="MDPI81references"/>
        <w:numPr>
          <w:ilvl w:val="0"/>
          <w:numId w:val="8"/>
        </w:numPr>
        <w:ind w:hanging="425" w:start="425"/>
        <w:rPr/>
      </w:pPr>
      <w:r>
        <w:t xml:space="preserve">Li, Y.; Wei, F.; Zhang, C.; Zhang, H. EAGLE: Speculative Sampling Requires Rethinking Feature Uncertainty. arXiv 2024, arXiv:2401.15077. https://doi.org/10.48550/arXiv.2401.15077.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 Noor Abdul Khaleq Zghair</dc:creator>
  <dc:description/>
  <dc:language>en-US</dc:language>
  <cp:lastModifiedBy>MDPI</cp:lastModifiedBy>
  <dcterms:modified xsi:type="dcterms:W3CDTF">2026-07-30T01:07:00Z</dcterms:modified>
  <cp:revision>2</cp:revision>
  <dc:subject/>
  <dc:title>Semantic-Driven Context Pruning for Arabic RAG: Quality-Preserving Compression Under Token Inflation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