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b/>
          <w:bCs/>
          <w:color w:val="1F3A5F"/>
          <w:sz w:val="56"/>
          <w:szCs w:val="56"/>
        </w:rPr>
        <w:t xml:space="preserve">Mamba-LOB</w:t>
      </w:r>
    </w:p>
    <w:p>
      <w:pPr>
        <w:spacing w:after="400"/>
        <w:jc w:val="center"/>
      </w:pPr>
      <w:r>
        <w:rPr>
          <w:color w:val="1F3A5F"/>
          <w:sz w:val="32"/>
          <w:szCs w:val="32"/>
        </w:rPr>
        <w:t xml:space="preserve">Selective State-Space Models for SPY Order Book Prediction</w:t>
      </w:r>
    </w:p>
    <w:p>
      <w:pPr>
        <w:spacing w:after="800"/>
        <w:jc w:val="center"/>
      </w:pPr>
      <w:r>
        <w:rPr>
          <w:i/>
          <w:iCs/>
          <w:color w:val="595959"/>
          <w:sz w:val="26"/>
          <w:szCs w:val="26"/>
        </w:rPr>
        <w:t xml:space="preserve">A Cross-Regime Microstructure Study with MXFP8 Training</w:t>
      </w:r>
    </w:p>
    <w:p>
      <w:pPr>
        <w:spacing w:after="200"/>
        <w:jc w:val="center"/>
      </w:pPr>
      <w:r>
        <w:rPr>
          <w:b/>
          <w:bCs/>
          <w:sz w:val="24"/>
          <w:szCs w:val="24"/>
        </w:rPr>
        <w:t xml:space="preserve">Quantitative Research Portfolio Project — Detailed Plan</w:t>
      </w:r>
    </w:p>
    <w:p>
      <w:pPr>
        <w:spacing w:after="200"/>
        <w:jc w:val="center"/>
      </w:pPr>
      <w:r>
        <w:rPr>
          <w:sz w:val="22"/>
          <w:szCs w:val="22"/>
        </w:rPr>
        <w:t xml:space="preserve">Data: SPY MBP-10 (Databento) — March 2025 + October 2025</w:t>
      </w:r>
    </w:p>
    <w:p>
      <w:pPr>
        <w:spacing w:after="200"/>
        <w:jc w:val="center"/>
      </w:pPr>
      <w:r>
        <w:rPr>
          <w:sz w:val="22"/>
          <w:szCs w:val="22"/>
        </w:rPr>
        <w:t xml:space="preserve">Hardware: NVIDIA RTX Pro 6000 Blackwell (96 GB, sm_120) on Colab</w:t>
      </w:r>
    </w:p>
    <w:p>
      <w:pPr>
        <w:spacing w:after="200"/>
        <w:jc w:val="center"/>
      </w:pPr>
      <w:r>
        <w:rPr>
          <w:sz w:val="22"/>
          <w:szCs w:val="22"/>
        </w:rPr>
        <w:t xml:space="preserve">Models: LightGBM (baseline) + Mamba-2 (headline)</w:t>
      </w:r>
    </w:p>
    <w:p>
      <w:pPr>
        <w:spacing w:after="200"/>
        <w:jc w:val="center"/>
      </w:pPr>
      <w:r>
        <w:rPr>
          <w:sz w:val="22"/>
          <w:szCs w:val="22"/>
        </w:rPr>
        <w:t xml:space="preserve">Estimated Timeline: ~6 weeks part-time</w:t>
      </w:r>
    </w:p>
    <w:p>
      <w:r>
        <w:br w:type="page"/>
      </w:r>
    </w:p>
    <w:p>
      <w:pPr>
        <w:pStyle w:val="Heading1"/>
      </w:pPr>
      <w:r>
        <w:t xml:space="preserve">1. Executive Summary</w:t>
      </w:r>
    </w:p>
    <w:p>
      <w:pPr>
        <w:spacing w:after="80" w:before="80"/>
      </w:pPr>
      <w:r>
        <w:t xml:space="preserve">This project compares a strong gradient-boosted baseline (LightGBM) against a selective state-space model (Mamba-2) on the task of short-horizon mid-price direction prediction from Level-2 limit order book (LOB) data on SPY. The headline contribution is a cross-regime evaluation: models are trained on one market regime (March 2025: rising tariff-driven anxiety) and tested on another (October 2025: late-cycle low-volatility), and vice versa. This produces a directly-relevant generalization signal for any production trading system.</w:t>
      </w:r>
    </w:p>
    <w:p>
      <w:pPr>
        <w:spacing w:after="80" w:before="80"/>
      </w:pPr>
      <w:r>
        <w:t xml:space="preserve">The project also includes a systems-level study of MXFP8 mixed-precision training using NVIDIA Transformer Engine on the linear projection layers of the Mamba block. Critical caveat: native MXFP8 is not yet supported on sm_120 (RTX Pro 6000) in Transformer Engine; the working path is Float8BlockScaling, which on Blackwell internally dispatches to the same MXFP8 GEMM kernel via E8M0 scales. This must be verified on Day 1 before any modeling work begins.</w:t>
      </w:r>
    </w:p>
    <w:p>
      <w:pPr>
        <w:spacing w:after="80" w:before="80"/>
      </w:pPr>
      <w:r>
        <w:t xml:space="preserve">Final deliverables: a reproducible training and evaluation pipeline, a results matrix across five experiment cells, an economic backtest with realistic transaction costs, a written limitations section, and a public technical blog post.</w:t>
      </w:r>
    </w:p>
    <w:p>
      <w:pPr>
        <w:pStyle w:val="Heading1"/>
      </w:pPr>
      <w:r>
        <w:t xml:space="preserve">2. Research Question</w:t>
      </w:r>
    </w:p>
    <w:p>
      <w:pPr>
        <w:spacing w:after="80" w:before="80"/>
      </w:pPr>
      <w:r>
        <w:t xml:space="preserve">The project answers two questions:</w:t>
      </w:r>
    </w:p>
    <w:p>
      <w:pPr>
        <w:pStyle w:val="ListParagraph"/>
        <w:numPr>
          <w:ilvl w:val="0"/>
          <w:numId w:val="2"/>
        </w:numPr>
        <w:spacing w:after="40" w:before="40"/>
      </w:pPr>
      <w:r>
        <w:t xml:space="preserve">Can a selective state-space model (Mamba-2) extract microstructure signal from L2 order book data that a strong gradient-boosted feature engineering baseline cannot?</w:t>
      </w:r>
    </w:p>
    <w:p>
      <w:pPr>
        <w:pStyle w:val="ListParagraph"/>
        <w:numPr>
          <w:ilvl w:val="0"/>
          <w:numId w:val="2"/>
        </w:numPr>
        <w:spacing w:after="40" w:before="40"/>
      </w:pPr>
      <w:r>
        <w:t xml:space="preserve">Does any architectural advantage hold across two distinct market regimes (rising-anxiety pre-tariff vs late-cycle calm)?</w:t>
      </w:r>
    </w:p>
    <w:p>
      <w:pPr>
        <w:spacing w:after="80" w:before="80"/>
      </w:pPr>
      <w:r>
        <w:t xml:space="preserve">Secondary questions: (a) Where does Mamba's linear-time scaling actually pay off on LOB sequence lengths? (b) Does MXFP8 quantization of the projection layers preserve final task accuracy? (c) Does any apparent edge survive realistic transaction costs in an event-level backtest?</w:t>
      </w:r>
    </w:p>
    <w:p>
      <w:pPr>
        <w:pStyle w:val="Heading1"/>
      </w:pPr>
      <w:r>
        <w:t xml:space="preserve">3. Hardware &amp; Software Stack</w:t>
      </w:r>
    </w:p>
    <w:p>
      <w:pPr>
        <w:pStyle w:val="Heading2"/>
      </w:pPr>
      <w:r>
        <w:t xml:space="preserve">3.1 Hardware</w:t>
      </w:r>
    </w:p>
    <w:p>
      <w:pPr>
        <w:pStyle w:val="ListParagraph"/>
        <w:numPr>
          <w:ilvl w:val="0"/>
          <w:numId w:val="3"/>
        </w:numPr>
        <w:spacing w:after="40" w:before="40"/>
      </w:pPr>
      <w:r>
        <w:t xml:space="preserve">GPU: NVIDIA RTX Pro 6000 Blackwell, 96 GB VRAM, compute capability sm_120</w:t>
      </w:r>
    </w:p>
    <w:p>
      <w:pPr>
        <w:pStyle w:val="ListParagraph"/>
        <w:numPr>
          <w:ilvl w:val="0"/>
          <w:numId w:val="3"/>
        </w:numPr>
        <w:spacing w:after="40" w:before="40"/>
      </w:pPr>
      <w:r>
        <w:t xml:space="preserve">Environment: Google Colab (or local equivalent)</w:t>
      </w:r>
    </w:p>
    <w:p>
      <w:pPr>
        <w:pStyle w:val="ListParagraph"/>
        <w:numPr>
          <w:ilvl w:val="0"/>
          <w:numId w:val="3"/>
        </w:numPr>
        <w:spacing w:after="40" w:before="40"/>
      </w:pPr>
      <w:r>
        <w:t xml:space="preserve">Storage: ~100 GB scratch needed for raw DBN + processed Parquet shards</w:t>
      </w:r>
    </w:p>
    <w:p>
      <w:pPr>
        <w:pStyle w:val="Heading2"/>
      </w:pPr>
      <w:r>
        <w:t xml:space="preserve">3.2 Software</w:t>
      </w:r>
    </w:p>
    <w:p>
      <w:pPr>
        <w:pStyle w:val="ListParagraph"/>
        <w:numPr>
          <w:ilvl w:val="0"/>
          <w:numId w:val="3"/>
        </w:numPr>
        <w:spacing w:after="40" w:before="40"/>
      </w:pPr>
      <w:r>
        <w:rPr>
          <w:b/>
          <w:bCs/>
        </w:rPr>
        <w:t xml:space="preserve">Python 3.12</w:t>
      </w:r>
      <w:r>
        <w:t xml:space="preserve"> — required for current PyTorch nightly + cu128/cu129 wheels with sm_120 kernels.</w:t>
      </w:r>
    </w:p>
    <w:p>
      <w:pPr>
        <w:pStyle w:val="ListParagraph"/>
        <w:numPr>
          <w:ilvl w:val="0"/>
          <w:numId w:val="3"/>
        </w:numPr>
        <w:spacing w:after="40" w:before="40"/>
      </w:pPr>
      <w:r>
        <w:rPr>
          <w:b/>
          <w:bCs/>
        </w:rPr>
        <w:t xml:space="preserve">PyTorch nightly with cu128 or cu129</w:t>
      </w:r>
      <w:r>
        <w:t xml:space="preserve"> — stable PyTorch builds before nightly do not include sm_120 kernels and will fall back to no-CUDA mode.</w:t>
      </w:r>
    </w:p>
    <w:p>
      <w:pPr>
        <w:pStyle w:val="ListParagraph"/>
        <w:numPr>
          <w:ilvl w:val="0"/>
          <w:numId w:val="3"/>
        </w:numPr>
        <w:spacing w:after="40" w:before="40"/>
      </w:pPr>
      <w:r>
        <w:t xml:space="preserve">databento (Python client) — for DBN file parsing</w:t>
      </w:r>
    </w:p>
    <w:p>
      <w:pPr>
        <w:pStyle w:val="ListParagraph"/>
        <w:numPr>
          <w:ilvl w:val="0"/>
          <w:numId w:val="3"/>
        </w:numPr>
        <w:spacing w:after="40" w:before="40"/>
      </w:pPr>
      <w:r>
        <w:t xml:space="preserve">mamba-ssm + causal-conv1d — official state-spaces/mamba kernels</w:t>
      </w:r>
    </w:p>
    <w:p>
      <w:pPr>
        <w:pStyle w:val="ListParagraph"/>
        <w:numPr>
          <w:ilvl w:val="0"/>
          <w:numId w:val="3"/>
        </w:numPr>
        <w:spacing w:after="40" w:before="40"/>
      </w:pPr>
      <w:r>
        <w:t xml:space="preserve">NVIDIA Transformer Engine (latest) — for FP8 quantization of linear projections</w:t>
      </w:r>
    </w:p>
    <w:p>
      <w:pPr>
        <w:pStyle w:val="ListParagraph"/>
        <w:numPr>
          <w:ilvl w:val="0"/>
          <w:numId w:val="3"/>
        </w:numPr>
        <w:spacing w:after="40" w:before="40"/>
      </w:pPr>
      <w:r>
        <w:t xml:space="preserve">LightGBM, scikit-learn, pandas, numpy, pyarrow, tqdm</w:t>
      </w:r>
    </w:p>
    <w:p>
      <w:pPr>
        <w:pStyle w:val="ListParagraph"/>
        <w:numPr>
          <w:ilvl w:val="0"/>
          <w:numId w:val="3"/>
        </w:numPr>
        <w:spacing w:after="40" w:before="40"/>
      </w:pPr>
      <w:r>
        <w:t xml:space="preserve">Standard quant tooling: matplotlib for plots, weights-and-biases or tensorboard for runs</w:t>
      </w:r>
    </w:p>
    <w:p>
      <w:pPr>
        <w:pStyle w:val="Heading2"/>
      </w:pPr>
      <w:r>
        <w:t xml:space="preserve">3.3 Critical compatibility notes</w:t>
      </w:r>
    </w:p>
    <w:p>
      <w:pPr>
        <w:spacing w:after="80" w:before="80"/>
      </w:pPr>
      <w:r>
        <w:t xml:space="preserve">The following constraints are based on the actual state of the toolchain for sm_120 cards and must be verified at the start of the project:</w:t>
      </w:r>
    </w:p>
    <w:p>
      <w:pPr>
        <w:pStyle w:val="ListParagraph"/>
        <w:numPr>
          <w:ilvl w:val="0"/>
          <w:numId w:val="3"/>
        </w:numPr>
        <w:spacing w:after="40" w:before="40"/>
      </w:pPr>
      <w:r>
        <w:rPr>
          <w:b/>
          <w:bCs/>
        </w:rPr>
        <w:t xml:space="preserve">MXFP8 on sm_120: </w:t>
      </w:r>
      <w:r>
        <w:t xml:space="preserve">Native MXFP8BlockScaling recipe in Transformer Engine raises an AssertionError on sm_120: 'MXFP8 (for all gemm layouts) is not supported on 12.0+ architectures yet.' The workable path is Float8BlockScaling, which on sm_arch &gt;= 100 internally converts to an MXFP8 layout with E8M0 scales and dispatches to the same MXFP8 GEMM kernel. This gives the same hardware path with a different recipe call.</w:t>
      </w:r>
    </w:p>
    <w:p>
      <w:pPr>
        <w:pStyle w:val="ListParagraph"/>
        <w:numPr>
          <w:ilvl w:val="0"/>
          <w:numId w:val="3"/>
        </w:numPr>
        <w:spacing w:after="40" w:before="40"/>
      </w:pPr>
      <w:r>
        <w:rPr>
          <w:b/>
          <w:bCs/>
        </w:rPr>
        <w:t xml:space="preserve">FlashAttention on sm_120: </w:t>
      </w:r>
      <w:r>
        <w:t xml:space="preserve">Not supported as of late 2025. This does not affect Mamba (no FlashAttention dependency), but rules out adding a Transformer comparison if scope is ever reopened.</w:t>
      </w:r>
    </w:p>
    <w:p>
      <w:pPr>
        <w:pStyle w:val="ListParagraph"/>
        <w:numPr>
          <w:ilvl w:val="0"/>
          <w:numId w:val="3"/>
        </w:numPr>
        <w:spacing w:after="40" w:before="40"/>
      </w:pPr>
      <w:r>
        <w:rPr>
          <w:b/>
          <w:bCs/>
        </w:rPr>
        <w:t xml:space="preserve">Mamba CUDA kernels: </w:t>
      </w:r>
      <w:r>
        <w:t xml:space="preserve">mamba-ssm and causal-conv1d compile from source against the local CUDA. Verify they build cleanly on sm_120 in Phase 0 before designing around them.</w:t>
      </w:r>
    </w:p>
    <w:p>
      <w:pPr>
        <w:pStyle w:val="ListParagraph"/>
        <w:numPr>
          <w:ilvl w:val="0"/>
          <w:numId w:val="3"/>
        </w:numPr>
        <w:spacing w:after="40" w:before="40"/>
      </w:pPr>
      <w:r>
        <w:rPr>
          <w:b/>
          <w:bCs/>
        </w:rPr>
        <w:t xml:space="preserve">MXFP8 scope on Mamba: </w:t>
      </w:r>
      <w:r>
        <w:t xml:space="preserve">Transformer Engine wraps GEMM operations. The Mamba selective-scan kernel is not a TE-wrapped GEMM. Realistic MXFP8 coverage is: in_proj, out_proj, and any MLP layers around the Mamba block. The SSM core stays in bf16. Mamba authors explicitly warn SSMs are precision-sensitive, so this constraint is correct and intentional.</w:t>
      </w:r>
    </w:p>
    <w:p>
      <w:pPr>
        <w:pStyle w:val="Heading1"/>
      </w:pPr>
      <w:r>
        <w:t xml:space="preserve">4. Data</w:t>
      </w:r>
    </w:p>
    <w:p>
      <w:pPr>
        <w:pStyle w:val="Heading2"/>
      </w:pPr>
      <w:r>
        <w:t xml:space="preserve">4.1 Source</w:t>
      </w:r>
    </w:p>
    <w:p>
      <w:pPr>
        <w:pStyle w:val="ListParagraph"/>
        <w:numPr>
          <w:ilvl w:val="0"/>
          <w:numId w:val="3"/>
        </w:numPr>
        <w:spacing w:after="40" w:before="40"/>
      </w:pPr>
      <w:r>
        <w:t xml:space="preserve">Provider: Databento</w:t>
      </w:r>
    </w:p>
    <w:p>
      <w:pPr>
        <w:pStyle w:val="ListParagraph"/>
        <w:numPr>
          <w:ilvl w:val="0"/>
          <w:numId w:val="3"/>
        </w:numPr>
        <w:spacing w:after="40" w:before="40"/>
      </w:pPr>
      <w:r>
        <w:t xml:space="preserve">Schema: MBP-10 (top-10 levels of aggregated book depth, every order book event)</w:t>
      </w:r>
    </w:p>
    <w:p>
      <w:pPr>
        <w:pStyle w:val="ListParagraph"/>
        <w:numPr>
          <w:ilvl w:val="0"/>
          <w:numId w:val="3"/>
        </w:numPr>
        <w:spacing w:after="40" w:before="40"/>
      </w:pPr>
      <w:r>
        <w:t xml:space="preserve">Symbol: SPY</w:t>
      </w:r>
    </w:p>
    <w:p>
      <w:pPr>
        <w:pStyle w:val="ListParagraph"/>
        <w:numPr>
          <w:ilvl w:val="0"/>
          <w:numId w:val="3"/>
        </w:numPr>
        <w:spacing w:after="40" w:before="40"/>
      </w:pPr>
      <w:r>
        <w:t xml:space="preserve">Periods: March 2025 (~21 trading days) + October 2025 (~22 trading days)</w:t>
      </w:r>
    </w:p>
    <w:p>
      <w:pPr>
        <w:pStyle w:val="ListParagraph"/>
        <w:numPr>
          <w:ilvl w:val="0"/>
          <w:numId w:val="3"/>
        </w:numPr>
        <w:spacing w:after="40" w:before="40"/>
      </w:pPr>
      <w:r>
        <w:t xml:space="preserve">Total events expected: 50–100M across both months</w:t>
      </w:r>
    </w:p>
    <w:p>
      <w:pPr>
        <w:pStyle w:val="Heading2"/>
      </w:pPr>
      <w:r>
        <w:t xml:space="preserve">4.2 Why these two months</w:t>
      </w:r>
    </w:p>
    <w:p>
      <w:pPr>
        <w:spacing w:after="80" w:before="80"/>
      </w:pPr>
      <w:r>
        <w:t xml:space="preserve">The two months represent meaningfully different market regimes within the same broad macro era (post-2022 bull, Fed cutting cycle):</w:t>
      </w:r>
    </w:p>
    <w:p>
      <w:pPr>
        <w:pStyle w:val="ListParagraph"/>
        <w:numPr>
          <w:ilvl w:val="0"/>
          <w:numId w:val="3"/>
        </w:numPr>
        <w:spacing w:after="40" w:before="40"/>
      </w:pPr>
      <w:r>
        <w:rPr>
          <w:b/>
          <w:bCs/>
        </w:rPr>
        <w:t xml:space="preserve">March 2025 — rising anxiety: </w:t>
      </w:r>
      <w:r>
        <w:t xml:space="preserve">VIX gradually elevated as tariff rhetoric escalated; market was in a topping/distribution phase right before the April 2 'Liberation Day' tariff announcement that drove the VIX from &lt;17 to &gt;60 in eight sessions. The data captures the coiling-spring regime preceding a historic vol shock.</w:t>
      </w:r>
    </w:p>
    <w:p>
      <w:pPr>
        <w:pStyle w:val="ListParagraph"/>
        <w:numPr>
          <w:ilvl w:val="0"/>
          <w:numId w:val="3"/>
        </w:numPr>
        <w:spacing w:after="40" w:before="40"/>
      </w:pPr>
      <w:r>
        <w:rPr>
          <w:b/>
          <w:bCs/>
        </w:rPr>
        <w:t xml:space="preserve">October 2025 — late-cycle calm: </w:t>
      </w:r>
      <w:r>
        <w:t xml:space="preserve">VIX in mid/high teens, late-bull complacency, includes one FOMC event (October 28-29). Several markets began topping out toward month-end.</w:t>
      </w:r>
    </w:p>
    <w:p>
      <w:pPr>
        <w:spacing w:after="80" w:before="80"/>
      </w:pPr>
      <w:r>
        <w:t xml:space="preserve">The contrast enables a real cross-regime test, which is the project's headline scientific contribution.</w:t>
      </w:r>
    </w:p>
    <w:p>
      <w:pPr>
        <w:pStyle w:val="Heading2"/>
      </w:pPr>
      <w:r>
        <w:t xml:space="preserve">4.3 Limitations of the data</w:t>
      </w:r>
    </w:p>
    <w:p>
      <w:pPr>
        <w:pStyle w:val="ListParagraph"/>
        <w:numPr>
          <w:ilvl w:val="0"/>
          <w:numId w:val="3"/>
        </w:numPr>
        <w:spacing w:after="40" w:before="40"/>
      </w:pPr>
      <w:r>
        <w:rPr>
          <w:b/>
          <w:bCs/>
        </w:rPr>
        <w:t xml:space="preserve">Two regimes is n=2. </w:t>
      </w:r>
      <w:r>
        <w:t xml:space="preserve">Conclusions about regime robustness are suggestive, not definitive.</w:t>
      </w:r>
    </w:p>
    <w:p>
      <w:pPr>
        <w:pStyle w:val="ListParagraph"/>
        <w:numPr>
          <w:ilvl w:val="0"/>
          <w:numId w:val="3"/>
        </w:numPr>
        <w:spacing w:after="40" w:before="40"/>
      </w:pPr>
      <w:r>
        <w:rPr>
          <w:b/>
          <w:bCs/>
        </w:rPr>
        <w:t xml:space="preserve">One symbol. </w:t>
      </w:r>
      <w:r>
        <w:t xml:space="preserve">SPY is the most liquid US equity instrument; results may not transfer to less-liquid names.</w:t>
      </w:r>
    </w:p>
    <w:p>
      <w:pPr>
        <w:pStyle w:val="ListParagraph"/>
        <w:numPr>
          <w:ilvl w:val="0"/>
          <w:numId w:val="3"/>
        </w:numPr>
        <w:spacing w:after="40" w:before="40"/>
      </w:pPr>
      <w:r>
        <w:rPr>
          <w:b/>
          <w:bCs/>
        </w:rPr>
        <w:t xml:space="preserve">No true crisis regime. </w:t>
      </w:r>
      <w:r>
        <w:t xml:space="preserve">March data ends before the actual April 2 crash; April 2 itself is not in the data.</w:t>
      </w:r>
    </w:p>
    <w:p>
      <w:pPr>
        <w:pStyle w:val="ListParagraph"/>
        <w:numPr>
          <w:ilvl w:val="0"/>
          <w:numId w:val="3"/>
        </w:numPr>
        <w:spacing w:after="40" w:before="40"/>
      </w:pPr>
      <w:r>
        <w:rPr>
          <w:b/>
          <w:bCs/>
        </w:rPr>
        <w:t xml:space="preserve">MBP-10 is aggregated. </w:t>
      </w:r>
      <w:r>
        <w:t xml:space="preserve">Queue-position effects (which require MBO/L3) cannot be modeled.</w:t>
      </w:r>
    </w:p>
    <w:p>
      <w:pPr>
        <w:pStyle w:val="Heading1"/>
      </w:pPr>
      <w:r>
        <w:t xml:space="preserve">5. Experimental Matrix</w:t>
      </w:r>
    </w:p>
    <w:p>
      <w:pPr>
        <w:spacing w:after="80" w:before="80"/>
      </w:pPr>
      <w:r>
        <w:t xml:space="preserve">Five experiment cells per model. Both LightGBM and Mamba-2 run all five. This produces a 2×5 results matrix that supports both within-regime and cross-regime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3360"/>
      </w:tblGrid>
      <w:tr>
        <w:trPr>
          <w:tblHeader/>
        </w:trPr>
        <w:tc>
          <w:tcPr>
            <w:tcW w:type="dxa" w:w="1200"/>
            <w:tcBorders>
              <w:top w:val="single" w:color="BFBFBF" w:sz="1"/>
              <w:left w:val="single" w:color="BFBFBF" w:sz="1"/>
              <w:bottom w:val="single" w:color="BFBFBF" w:sz="1"/>
              <w:right w:val="single" w:color="BFBFBF" w:sz="1"/>
            </w:tcBorders>
            <w:shd w:fill="1F3A5F" w:val="clear"/>
            <w:tcMar>
              <w:top w:type="dxa" w:w="100"/>
              <w:left w:type="dxa" w:w="140"/>
              <w:bottom w:type="dxa" w:w="100"/>
              <w:right w:type="dxa" w:w="140"/>
            </w:tcMar>
          </w:tcPr>
          <w:p>
            <w:r>
              <w:rPr>
                <w:b/>
                <w:bCs/>
                <w:color w:val="FFFFFF"/>
              </w:rPr>
              <w:t xml:space="preserve">Cell</w:t>
            </w:r>
          </w:p>
        </w:tc>
        <w:tc>
          <w:tcPr>
            <w:tcW w:type="dxa" w:w="2400"/>
            <w:tcBorders>
              <w:top w:val="single" w:color="BFBFBF" w:sz="1"/>
              <w:left w:val="single" w:color="BFBFBF" w:sz="1"/>
              <w:bottom w:val="single" w:color="BFBFBF" w:sz="1"/>
              <w:right w:val="single" w:color="BFBFBF" w:sz="1"/>
            </w:tcBorders>
            <w:shd w:fill="1F3A5F" w:val="clear"/>
            <w:tcMar>
              <w:top w:type="dxa" w:w="100"/>
              <w:left w:type="dxa" w:w="140"/>
              <w:bottom w:type="dxa" w:w="100"/>
              <w:right w:type="dxa" w:w="140"/>
            </w:tcMar>
          </w:tcPr>
          <w:p>
            <w:r>
              <w:rPr>
                <w:b/>
                <w:bCs/>
                <w:color w:val="FFFFFF"/>
              </w:rPr>
              <w:t xml:space="preserve">Train</w:t>
            </w:r>
          </w:p>
        </w:tc>
        <w:tc>
          <w:tcPr>
            <w:tcW w:type="dxa" w:w="2400"/>
            <w:tcBorders>
              <w:top w:val="single" w:color="BFBFBF" w:sz="1"/>
              <w:left w:val="single" w:color="BFBFBF" w:sz="1"/>
              <w:bottom w:val="single" w:color="BFBFBF" w:sz="1"/>
              <w:right w:val="single" w:color="BFBFBF" w:sz="1"/>
            </w:tcBorders>
            <w:shd w:fill="1F3A5F" w:val="clear"/>
            <w:tcMar>
              <w:top w:type="dxa" w:w="100"/>
              <w:left w:type="dxa" w:w="140"/>
              <w:bottom w:type="dxa" w:w="100"/>
              <w:right w:type="dxa" w:w="140"/>
            </w:tcMar>
          </w:tcPr>
          <w:p>
            <w:r>
              <w:rPr>
                <w:b/>
                <w:bCs/>
                <w:color w:val="FFFFFF"/>
              </w:rPr>
              <w:t xml:space="preserve">Test</w:t>
            </w:r>
          </w:p>
        </w:tc>
        <w:tc>
          <w:tcPr>
            <w:tcW w:type="dxa" w:w="3360"/>
            <w:tcBorders>
              <w:top w:val="single" w:color="BFBFBF" w:sz="1"/>
              <w:left w:val="single" w:color="BFBFBF" w:sz="1"/>
              <w:bottom w:val="single" w:color="BFBFBF" w:sz="1"/>
              <w:right w:val="single" w:color="BFBFBF" w:sz="1"/>
            </w:tcBorders>
            <w:shd w:fill="1F3A5F" w:val="clear"/>
            <w:tcMar>
              <w:top w:type="dxa" w:w="100"/>
              <w:left w:type="dxa" w:w="140"/>
              <w:bottom w:type="dxa" w:w="100"/>
              <w:right w:type="dxa" w:w="140"/>
            </w:tcMar>
          </w:tcPr>
          <w:p>
            <w:r>
              <w:rPr>
                <w:b/>
                <w:bCs/>
                <w:color w:val="FFFFFF"/>
              </w:rPr>
              <w:t xml:space="preserve">What it measures</w:t>
            </w:r>
          </w:p>
        </w:tc>
      </w:tr>
      <w:tr>
        <w:tc>
          <w:tcPr>
            <w:tcW w:type="dxa" w:w="1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A</w:t>
            </w:r>
          </w:p>
        </w:tc>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March days 1–14</w:t>
            </w:r>
          </w:p>
        </w:tc>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March days 15–22</w:t>
            </w:r>
          </w:p>
        </w:tc>
        <w:tc>
          <w:tcPr>
            <w:tcW w:type="dxa" w:w="3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In-regime baseline (volatile)</w:t>
            </w:r>
          </w:p>
        </w:tc>
      </w:tr>
      <w:tr>
        <w:tc>
          <w:tcPr>
            <w:tcW w:type="dxa" w:w="1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B</w:t>
            </w:r>
          </w:p>
        </w:tc>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Oct days 1–14</w:t>
            </w:r>
          </w:p>
        </w:tc>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Oct days 15–22</w:t>
            </w:r>
          </w:p>
        </w:tc>
        <w:tc>
          <w:tcPr>
            <w:tcW w:type="dxa" w:w="3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In-regime baseline (calm)</w:t>
            </w:r>
          </w:p>
        </w:tc>
      </w:tr>
      <w:tr>
        <w:tc>
          <w:tcPr>
            <w:tcW w:type="dxa" w:w="1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C</w:t>
            </w:r>
          </w:p>
        </w:tc>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All October</w:t>
            </w:r>
          </w:p>
        </w:tc>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All March</w:t>
            </w:r>
          </w:p>
        </w:tc>
        <w:tc>
          <w:tcPr>
            <w:tcW w:type="dxa" w:w="3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Cross-regime: calm → volatile</w:t>
            </w:r>
          </w:p>
        </w:tc>
      </w:tr>
      <w:tr>
        <w:tc>
          <w:tcPr>
            <w:tcW w:type="dxa" w:w="1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D</w:t>
            </w:r>
          </w:p>
        </w:tc>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All March</w:t>
            </w:r>
          </w:p>
        </w:tc>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All October</w:t>
            </w:r>
          </w:p>
        </w:tc>
        <w:tc>
          <w:tcPr>
            <w:tcW w:type="dxa" w:w="3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Cross-regime: volatile → calm</w:t>
            </w:r>
          </w:p>
        </w:tc>
      </w:tr>
      <w:tr>
        <w:tc>
          <w:tcPr>
            <w:tcW w:type="dxa" w:w="1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E</w:t>
            </w:r>
          </w:p>
        </w:tc>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First 70% of each month interleaved</w:t>
            </w:r>
          </w:p>
        </w:tc>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Last 30% of each month</w:t>
            </w:r>
          </w:p>
        </w:tc>
        <w:tc>
          <w:tcPr>
            <w:tcW w:type="dxa" w:w="3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Does multi-regime training help?</w:t>
            </w:r>
          </w:p>
        </w:tc>
      </w:tr>
    </w:tbl>
    <w:p>
      <w:pPr>
        <w:spacing w:after="80" w:before="80"/>
      </w:pPr>
      <w:r>
        <w:t xml:space="preserve">All splits are walk-forward in time within each month. No random shuffling of events across days. This is standard practice for time-series ML and prevents lookahead leakage.</w:t>
      </w:r>
    </w:p>
    <w:p>
      <w:r>
        <w:br w:type="page"/>
      </w:r>
    </w:p>
    <w:p>
      <w:pPr>
        <w:pStyle w:val="Heading1"/>
      </w:pPr>
      <w:r>
        <w:t xml:space="preserve">6. Phase 0 — Setup &amp; Sanity Checks (Days 1–2)</w:t>
      </w:r>
    </w:p>
    <w:p>
      <w:pPr>
        <w:spacing w:after="80" w:before="80"/>
      </w:pPr>
      <w:r>
        <w:t xml:space="preserve">Goal: confirm the environment actually works before designing anything.</w:t>
      </w:r>
    </w:p>
    <w:p>
      <w:pPr>
        <w:pStyle w:val="Heading2"/>
      </w:pPr>
      <w:r>
        <w:t xml:space="preserve">6.1 Tasks</w:t>
      </w:r>
    </w:p>
    <w:p>
      <w:pPr>
        <w:pStyle w:val="ListParagraph"/>
        <w:numPr>
          <w:ilvl w:val="0"/>
          <w:numId w:val="2"/>
        </w:numPr>
        <w:spacing w:after="40" w:before="40"/>
      </w:pPr>
      <w:r>
        <w:t xml:space="preserve">Inspect one DBN file. Use the databento Python client to load and print first 100 rows. Record exact column names, timestamp format, instrument_id, and verify file count = ~21 (March) + ~22 (October) trading days.</w:t>
      </w:r>
    </w:p>
    <w:p>
      <w:pPr>
        <w:pStyle w:val="ListParagraph"/>
        <w:numPr>
          <w:ilvl w:val="0"/>
          <w:numId w:val="2"/>
        </w:numPr>
        <w:spacing w:after="40" w:before="40"/>
      </w:pPr>
      <w:r>
        <w:t xml:space="preserve">Verify Mamba kernels compile and run on sm_120. Run a forward+backward pass on a (2, 512, 128) dummy tensor through a single Mamba2 block. Catch any kernel-build issues now.</w:t>
      </w:r>
    </w:p>
    <w:p>
      <w:pPr>
        <w:pStyle w:val="ListParagraph"/>
        <w:numPr>
          <w:ilvl w:val="0"/>
          <w:numId w:val="2"/>
        </w:numPr>
        <w:spacing w:after="40" w:before="40"/>
      </w:pPr>
      <w:r>
        <w:t xml:space="preserve">Verify FP8 path on sm_120. Wrap a te.Linear(512, 512) in te.fp8_autocast with the Float8BlockScaling recipe and run forward+backward on dummy data. If it errors, fall back to bf16 for the entire project — do not block on this.</w:t>
      </w:r>
    </w:p>
    <w:p>
      <w:pPr>
        <w:pStyle w:val="ListParagraph"/>
        <w:numPr>
          <w:ilvl w:val="0"/>
          <w:numId w:val="2"/>
        </w:numPr>
        <w:spacing w:after="40" w:before="40"/>
      </w:pPr>
      <w:r>
        <w:t xml:space="preserve">Set up the repo: data/, src/, notebooks/, configs/, results/, README.md. Use uv or poetry for env management. Commit to git from day one.</w:t>
      </w:r>
    </w:p>
    <w:p>
      <w:pPr>
        <w:pStyle w:val="ListParagraph"/>
        <w:numPr>
          <w:ilvl w:val="0"/>
          <w:numId w:val="2"/>
        </w:numPr>
        <w:spacing w:after="40" w:before="40"/>
      </w:pPr>
      <w:r>
        <w:t xml:space="preserve">Pin all package versions in a lockfile. The Blackwell/sm_120 toolchain shifts weekly; reproducibility requires pinning.</w:t>
      </w:r>
    </w:p>
    <w:p>
      <w:pPr>
        <w:pStyle w:val="Heading2"/>
      </w:pPr>
      <w:r>
        <w:t xml:space="preserve">6.2 Deliverable</w:t>
      </w:r>
    </w:p>
    <w:p>
      <w:pPr>
        <w:pStyle w:val="ListParagraph"/>
        <w:numPr>
          <w:ilvl w:val="0"/>
          <w:numId w:val="3"/>
        </w:numPr>
        <w:spacing w:after="40" w:before="40"/>
      </w:pPr>
      <w:r>
        <w:t xml:space="preserve">A working environment + one notebook that loads one DBN file and prints the first 100 rows.</w:t>
      </w:r>
    </w:p>
    <w:p>
      <w:pPr>
        <w:pStyle w:val="ListParagraph"/>
        <w:numPr>
          <w:ilvl w:val="0"/>
          <w:numId w:val="3"/>
        </w:numPr>
        <w:spacing w:after="40" w:before="40"/>
      </w:pPr>
      <w:r>
        <w:t xml:space="preserve">A 'environment_check.md' file in the repo documenting which tools/recipes work on the GPU and which don't.</w:t>
      </w:r>
    </w:p>
    <w:p>
      <w:pPr>
        <w:pStyle w:val="Heading1"/>
      </w:pPr>
      <w:r>
        <w:t xml:space="preserve">7. Phase 1 — Data Pipeline &amp; LOB Reconstruction (Week 1)</w:t>
      </w:r>
    </w:p>
    <w:p>
      <w:pPr>
        <w:spacing w:after="80" w:before="80"/>
      </w:pPr>
      <w:r>
        <w:t xml:space="preserve">Goal: turn raw MBP-10 events into clean, labeled, model-ready arrays. Expect 3–4 days of debugging here. LOB reconstruction has subtle bugs (cancellations, modify events, opening/closing auctions) that take time to surface.</w:t>
      </w:r>
    </w:p>
    <w:p>
      <w:pPr>
        <w:pStyle w:val="Heading2"/>
      </w:pPr>
      <w:r>
        <w:t xml:space="preserve">7.1 Pipeline steps</w:t>
      </w:r>
    </w:p>
    <w:p>
      <w:pPr>
        <w:pStyle w:val="ListParagraph"/>
        <w:numPr>
          <w:ilvl w:val="0"/>
          <w:numId w:val="2"/>
        </w:numPr>
        <w:spacing w:after="40" w:before="40"/>
      </w:pPr>
      <w:r>
        <w:t xml:space="preserve">Parse DBN. Use databento.DBNStore.from_file(path).to_df() or .to_ndarray(). Do not write a custom binary parser.</w:t>
      </w:r>
    </w:p>
    <w:p>
      <w:pPr>
        <w:pStyle w:val="ListParagraph"/>
        <w:numPr>
          <w:ilvl w:val="0"/>
          <w:numId w:val="2"/>
        </w:numPr>
        <w:spacing w:after="40" w:before="40"/>
      </w:pPr>
      <w:r>
        <w:t xml:space="preserve">Filter to regular trading hours (RTH): 09:30–16:00 ET. Drop the first 30 seconds (opening auction tail) and last 30 seconds (closing auction) — different dynamics that will confuse the models.</w:t>
      </w:r>
    </w:p>
    <w:p>
      <w:pPr>
        <w:pStyle w:val="ListParagraph"/>
        <w:numPr>
          <w:ilvl w:val="0"/>
          <w:numId w:val="2"/>
        </w:numPr>
        <w:spacing w:after="40" w:before="40"/>
      </w:pPr>
      <w:r>
        <w:t xml:space="preserve">Build the L2 snapshot tensor. For each event, construct a 40-dim float vector: [bid_px_0..9, bid_sz_0..9, ask_px_0..9, ask_sz_0..9]. Sanity check: bid_px is monotonically decreasing, ask_px monotonically increasing, always.</w:t>
      </w:r>
    </w:p>
    <w:p>
      <w:pPr>
        <w:pStyle w:val="ListParagraph"/>
        <w:numPr>
          <w:ilvl w:val="0"/>
          <w:numId w:val="2"/>
        </w:numPr>
        <w:spacing w:after="40" w:before="40"/>
      </w:pPr>
      <w:r>
        <w:t xml:space="preserve">Compute mid-price = (bid_px_0 + ask_px_0) / 2 and spread = ask_px_0 - bid_px_0 per event.</w:t>
      </w:r>
    </w:p>
    <w:p>
      <w:pPr>
        <w:pStyle w:val="ListParagraph"/>
        <w:numPr>
          <w:ilvl w:val="0"/>
          <w:numId w:val="2"/>
        </w:numPr>
        <w:spacing w:after="40" w:before="40"/>
      </w:pPr>
      <w:r>
        <w:t xml:space="preserve">Generate three-class labels via the Ntakaris/Kercheval-Zhang scheme: average mid over the next k events, label = up if smoothed return &gt; +α, down if &lt; -α, flat otherwise. Tune α per training period to target ~33% per class.</w:t>
      </w:r>
    </w:p>
    <w:p>
      <w:pPr>
        <w:pStyle w:val="ListParagraph"/>
        <w:numPr>
          <w:ilvl w:val="0"/>
          <w:numId w:val="2"/>
        </w:numPr>
        <w:spacing w:after="40" w:before="40"/>
      </w:pPr>
      <w:r>
        <w:t xml:space="preserve">Use horizons k ∈ {10, 50, 100} events and report all three. Short horizons are easier; long horizons are more economically meaningful.</w:t>
      </w:r>
    </w:p>
    <w:p>
      <w:pPr>
        <w:pStyle w:val="ListParagraph"/>
        <w:numPr>
          <w:ilvl w:val="0"/>
          <w:numId w:val="2"/>
        </w:numPr>
        <w:spacing w:after="40" w:before="40"/>
      </w:pPr>
      <w:r>
        <w:t xml:space="preserve">Normalize without leakage. Compute z-score statistics on training days only and apply to all days. Use log-returns for prices and log-sizes, NEVER raw price levels. This is the most common bug in LOB ML projects — raw prices leak the absolute price level which trivially identifies the time period.</w:t>
      </w:r>
    </w:p>
    <w:p>
      <w:pPr>
        <w:pStyle w:val="ListParagraph"/>
        <w:numPr>
          <w:ilvl w:val="0"/>
          <w:numId w:val="2"/>
        </w:numPr>
        <w:spacing w:after="40" w:before="40"/>
      </w:pPr>
      <w:r>
        <w:t xml:space="preserve">Save processed data as memory-mapped numpy arrays or Parquet shards. Do not reparse DBN every training run.</w:t>
      </w:r>
    </w:p>
    <w:p>
      <w:pPr>
        <w:pStyle w:val="Heading2"/>
      </w:pPr>
      <w:r>
        <w:t xml:space="preserve">7.2 The leakage trap (read this twice)</w:t>
      </w:r>
    </w:p>
    <w:p>
      <w:pPr>
        <w:spacing w:after="80" w:before="80"/>
      </w:pPr>
      <w:r>
        <w:t xml:space="preserve">If a model sees raw price levels as input, it can memorize 'SPY trades around $580 in March, $660 in October' and use that to identify the regime. Test F1 will look great in-regime and collapse cross-regime, and the conclusion will be wrong. Always feed the model log-returns, scaled spreads, normalized depth, and other invariant quantities. Verify by training a model on raw prices alone — if it gets &gt;40% F1 in cross-regime, that signal is leakage, not skill.</w:t>
      </w:r>
    </w:p>
    <w:p>
      <w:pPr>
        <w:pStyle w:val="Heading2"/>
      </w:pPr>
      <w:r>
        <w:t xml:space="preserve">7.3 Deliverable</w:t>
      </w:r>
    </w:p>
    <w:p>
      <w:pPr>
        <w:pStyle w:val="ListParagraph"/>
        <w:numPr>
          <w:ilvl w:val="0"/>
          <w:numId w:val="3"/>
        </w:numPr>
        <w:spacing w:after="40" w:before="40"/>
      </w:pPr>
      <w:r>
        <w:t xml:space="preserve">A LOBDataset class that yields (event_sequence, label) tuples with a configurable sequence length and prediction horizon.</w:t>
      </w:r>
    </w:p>
    <w:p>
      <w:pPr>
        <w:pStyle w:val="ListParagraph"/>
        <w:numPr>
          <w:ilvl w:val="0"/>
          <w:numId w:val="3"/>
        </w:numPr>
        <w:spacing w:after="40" w:before="40"/>
      </w:pPr>
      <w:r>
        <w:t xml:space="preserve">A notebook that visualizes one trading day's reconstructed order book as a heatmap (time × price level), to confirm reconstruction is correct.</w:t>
      </w:r>
    </w:p>
    <w:p>
      <w:pPr>
        <w:pStyle w:val="ListParagraph"/>
        <w:numPr>
          <w:ilvl w:val="0"/>
          <w:numId w:val="3"/>
        </w:numPr>
        <w:spacing w:after="40" w:before="40"/>
      </w:pPr>
      <w:r>
        <w:t xml:space="preserve">A unit test that verifies book ordering invariants on a random sample of events.</w:t>
      </w:r>
    </w:p>
    <w:p>
      <w:pPr>
        <w:pStyle w:val="Heading1"/>
      </w:pPr>
      <w:r>
        <w:t xml:space="preserve">8. Phase 2 — LightGBM Baseline (Week 2)</w:t>
      </w:r>
    </w:p>
    <w:p>
      <w:pPr>
        <w:spacing w:after="80" w:before="80"/>
      </w:pPr>
      <w:r>
        <w:t xml:space="preserve">Goal: establish floor performance with the boring model. This is the floor every other model has to beat.</w:t>
      </w:r>
    </w:p>
    <w:p>
      <w:pPr>
        <w:pStyle w:val="Heading2"/>
      </w:pPr>
      <w:r>
        <w:t xml:space="preserve">8.1 Engineered features</w:t>
      </w:r>
    </w:p>
    <w:p>
      <w:pPr>
        <w:spacing w:after="80" w:before="80"/>
      </w:pPr>
      <w:r>
        <w:t xml:space="preserve">Compute per-event:</w:t>
      </w:r>
    </w:p>
    <w:p>
      <w:pPr>
        <w:pStyle w:val="ListParagraph"/>
        <w:numPr>
          <w:ilvl w:val="0"/>
          <w:numId w:val="3"/>
        </w:numPr>
        <w:spacing w:after="40" w:before="40"/>
      </w:pPr>
      <w:r>
        <w:t xml:space="preserve">Order Flow Imbalance (OFI) at top-1, top-3, top-5 levels</w:t>
      </w:r>
    </w:p>
    <w:p>
      <w:pPr>
        <w:pStyle w:val="ListParagraph"/>
        <w:numPr>
          <w:ilvl w:val="0"/>
          <w:numId w:val="3"/>
        </w:numPr>
        <w:spacing w:after="40" w:before="40"/>
      </w:pPr>
      <w:r>
        <w:t xml:space="preserve">Queue imbalance: (bid_size - ask_size) / (bid_size + ask_size) at top-3 levels</w:t>
      </w:r>
    </w:p>
    <w:p>
      <w:pPr>
        <w:pStyle w:val="ListParagraph"/>
        <w:numPr>
          <w:ilvl w:val="0"/>
          <w:numId w:val="3"/>
        </w:numPr>
        <w:spacing w:after="40" w:before="40"/>
      </w:pPr>
      <w:r>
        <w:t xml:space="preserve">Weighted mid-price: size-weighted average of best bid and ask</w:t>
      </w:r>
    </w:p>
    <w:p>
      <w:pPr>
        <w:pStyle w:val="ListParagraph"/>
        <w:numPr>
          <w:ilvl w:val="0"/>
          <w:numId w:val="3"/>
        </w:numPr>
        <w:spacing w:after="40" w:before="40"/>
      </w:pPr>
      <w:r>
        <w:t xml:space="preserve">Micro-price: (ask_px * bid_sz + bid_px * ask_sz) / (bid_sz + ask_sz)</w:t>
      </w:r>
    </w:p>
    <w:p>
      <w:pPr>
        <w:pStyle w:val="ListParagraph"/>
        <w:numPr>
          <w:ilvl w:val="0"/>
          <w:numId w:val="3"/>
        </w:numPr>
        <w:spacing w:after="40" w:before="40"/>
      </w:pPr>
      <w:r>
        <w:t xml:space="preserve">Spread (in basis points of mid-price)</w:t>
      </w:r>
    </w:p>
    <w:p>
      <w:pPr>
        <w:pStyle w:val="ListParagraph"/>
        <w:numPr>
          <w:ilvl w:val="0"/>
          <w:numId w:val="3"/>
        </w:numPr>
        <w:spacing w:after="40" w:before="40"/>
      </w:pPr>
      <w:r>
        <w:t xml:space="preserve">Total depth at each of the 10 levels</w:t>
      </w:r>
    </w:p>
    <w:p>
      <w:pPr>
        <w:pStyle w:val="ListParagraph"/>
        <w:numPr>
          <w:ilvl w:val="0"/>
          <w:numId w:val="3"/>
        </w:numPr>
        <w:spacing w:after="40" w:before="40"/>
      </w:pPr>
      <w:r>
        <w:t xml:space="preserve">Rolling realized volatility over last 100, 500, 1000 events</w:t>
      </w:r>
    </w:p>
    <w:p>
      <w:pPr>
        <w:pStyle w:val="ListParagraph"/>
        <w:numPr>
          <w:ilvl w:val="0"/>
          <w:numId w:val="3"/>
        </w:numPr>
        <w:spacing w:after="40" w:before="40"/>
      </w:pPr>
      <w:r>
        <w:t xml:space="preserve">Trade sign (Lee-Ready algorithm) and signed volume over rolling windows</w:t>
      </w:r>
    </w:p>
    <w:p>
      <w:pPr>
        <w:pStyle w:val="ListParagraph"/>
        <w:numPr>
          <w:ilvl w:val="0"/>
          <w:numId w:val="3"/>
        </w:numPr>
        <w:spacing w:after="40" w:before="40"/>
      </w:pPr>
      <w:r>
        <w:t xml:space="preserve">Time-of-day features: minutes since open, indicator for first/last 30 min</w:t>
      </w:r>
    </w:p>
    <w:p>
      <w:pPr>
        <w:pStyle w:val="Heading2"/>
      </w:pPr>
      <w:r>
        <w:t xml:space="preserve">8.2 Training</w:t>
      </w:r>
    </w:p>
    <w:p>
      <w:pPr>
        <w:pStyle w:val="ListParagraph"/>
        <w:numPr>
          <w:ilvl w:val="0"/>
          <w:numId w:val="2"/>
        </w:numPr>
        <w:spacing w:after="40" w:before="40"/>
      </w:pPr>
      <w:r>
        <w:t xml:space="preserve">LightGBM with multi-class objective (3 classes), num_leaves=63, learning_rate=0.05, n_estimators=2000 with early stopping on validation F1.</w:t>
      </w:r>
    </w:p>
    <w:p>
      <w:pPr>
        <w:pStyle w:val="ListParagraph"/>
        <w:numPr>
          <w:ilvl w:val="0"/>
          <w:numId w:val="2"/>
        </w:numPr>
        <w:spacing w:after="40" w:before="40"/>
      </w:pPr>
      <w:r>
        <w:t xml:space="preserve">Walk-forward CV within March only: lock the harness here. Every later model uses the same harness.</w:t>
      </w:r>
    </w:p>
    <w:p>
      <w:pPr>
        <w:pStyle w:val="ListParagraph"/>
        <w:numPr>
          <w:ilvl w:val="0"/>
          <w:numId w:val="2"/>
        </w:numPr>
        <w:spacing w:after="40" w:before="40"/>
      </w:pPr>
      <w:r>
        <w:t xml:space="preserve">Run all 5 experiment cells from Section 5.</w:t>
      </w:r>
    </w:p>
    <w:p>
      <w:pPr>
        <w:pStyle w:val="ListParagraph"/>
        <w:numPr>
          <w:ilvl w:val="0"/>
          <w:numId w:val="2"/>
        </w:numPr>
        <w:spacing w:after="40" w:before="40"/>
      </w:pPr>
      <w:r>
        <w:t xml:space="preserve">Report: per-class F1, macro F1, AUC, confusion matrix, feature importance.</w:t>
      </w:r>
    </w:p>
    <w:p>
      <w:pPr>
        <w:pStyle w:val="Heading2"/>
      </w:pPr>
      <w:r>
        <w:t xml:space="preserve">8.3 Deliverable</w:t>
      </w:r>
    </w:p>
    <w:p>
      <w:pPr>
        <w:pStyle w:val="ListParagraph"/>
        <w:numPr>
          <w:ilvl w:val="0"/>
          <w:numId w:val="3"/>
        </w:numPr>
        <w:spacing w:after="40" w:before="40"/>
      </w:pPr>
      <w:r>
        <w:t xml:space="preserve">Complete LightGBM results across all 5 cells, saved as JSON in results/lightgbm_v1.json.</w:t>
      </w:r>
    </w:p>
    <w:p>
      <w:pPr>
        <w:pStyle w:val="ListParagraph"/>
        <w:numPr>
          <w:ilvl w:val="0"/>
          <w:numId w:val="3"/>
        </w:numPr>
        <w:spacing w:after="40" w:before="40"/>
      </w:pPr>
      <w:r>
        <w:t xml:space="preserve">A feature importance plot. If certain features dominate, note them — they are clues about what Mamba should learn.</w:t>
      </w:r>
    </w:p>
    <w:p>
      <w:pPr>
        <w:pStyle w:val="ListParagraph"/>
        <w:numPr>
          <w:ilvl w:val="0"/>
          <w:numId w:val="3"/>
        </w:numPr>
        <w:spacing w:after="40" w:before="40"/>
      </w:pPr>
      <w:r>
        <w:t xml:space="preserve">Locked evaluation harness reused for all subsequent models.</w:t>
      </w:r>
    </w:p>
    <w:p>
      <w:pPr>
        <w:pStyle w:val="Heading1"/>
      </w:pPr>
      <w:r>
        <w:t xml:space="preserve">9. Phase 3 — Mamba-2 Model (Weeks 3–4)</w:t>
      </w:r>
    </w:p>
    <w:p>
      <w:pPr>
        <w:spacing w:after="80" w:before="80"/>
      </w:pPr>
      <w:r>
        <w:t xml:space="preserve">Goal: the headline result. A selective state-space model trained from scratch on L2 order book event sequences.</w:t>
      </w:r>
    </w:p>
    <w:p>
      <w:pPr>
        <w:pStyle w:val="Heading2"/>
      </w:pPr>
      <w:r>
        <w:t xml:space="preserve">9.1 Why Mamba-2 specifically</w:t>
      </w:r>
    </w:p>
    <w:p>
      <w:pPr>
        <w:spacing w:after="80" w:before="80"/>
      </w:pPr>
      <w:r>
        <w:t xml:space="preserve">Mamba-2 (Dao &amp; Gu, ICML 2024) introduces the SSD (Structured State Space Duality) layer, which is well-supported in the official mamba-ssm library, has stable kernels, and matches or beats Transformer quality on many sequence tasks at a fraction of the compute. Mamba-3 (March 2026) is newer and the implementations have rough edges; for a portfolio project, choosing Mamba-2 is the right tradeoff between novelty and tooling stability. If time allows in the stretch phase, swap in Mamba-3.</w:t>
      </w:r>
    </w:p>
    <w:p>
      <w:pPr>
        <w:pStyle w:val="Heading2"/>
      </w:pPr>
      <w:r>
        <w:t xml:space="preserve">9.2 Architecture</w:t>
      </w:r>
    </w:p>
    <w:p>
      <w:pPr>
        <w:pStyle w:val="ListParagraph"/>
        <w:numPr>
          <w:ilvl w:val="0"/>
          <w:numId w:val="3"/>
        </w:numPr>
        <w:spacing w:after="40" w:before="40"/>
      </w:pPr>
      <w:r>
        <w:t xml:space="preserve">Input projection: Linear(40 → d_model=128). Wrap with te.Linear for FP8.</w:t>
      </w:r>
    </w:p>
    <w:p>
      <w:pPr>
        <w:pStyle w:val="ListParagraph"/>
        <w:numPr>
          <w:ilvl w:val="0"/>
          <w:numId w:val="3"/>
        </w:numPr>
        <w:spacing w:after="40" w:before="40"/>
      </w:pPr>
      <w:r>
        <w:t xml:space="preserve">Stack of 6 Mamba-2 blocks. d_model=128, d_state=64, d_conv=4, expand=2.</w:t>
      </w:r>
    </w:p>
    <w:p>
      <w:pPr>
        <w:pStyle w:val="ListParagraph"/>
        <w:numPr>
          <w:ilvl w:val="0"/>
          <w:numId w:val="3"/>
        </w:numPr>
        <w:spacing w:after="40" w:before="40"/>
      </w:pPr>
      <w:r>
        <w:t xml:space="preserve">Bidirectional configuration: process both forward and reverse sequences (SAMBA-style), concatenate outputs.</w:t>
      </w:r>
    </w:p>
    <w:p>
      <w:pPr>
        <w:pStyle w:val="ListParagraph"/>
        <w:numPr>
          <w:ilvl w:val="0"/>
          <w:numId w:val="3"/>
        </w:numPr>
        <w:spacing w:after="40" w:before="40"/>
      </w:pPr>
      <w:r>
        <w:t xml:space="preserve">RMSNorm between blocks.</w:t>
      </w:r>
    </w:p>
    <w:p>
      <w:pPr>
        <w:pStyle w:val="ListParagraph"/>
        <w:numPr>
          <w:ilvl w:val="0"/>
          <w:numId w:val="3"/>
        </w:numPr>
        <w:spacing w:after="40" w:before="40"/>
      </w:pPr>
      <w:r>
        <w:t xml:space="preserve">Final mean-pool over sequence dimension or take the last token.</w:t>
      </w:r>
    </w:p>
    <w:p>
      <w:pPr>
        <w:pStyle w:val="ListParagraph"/>
        <w:numPr>
          <w:ilvl w:val="0"/>
          <w:numId w:val="3"/>
        </w:numPr>
        <w:spacing w:after="40" w:before="40"/>
      </w:pPr>
      <w:r>
        <w:t xml:space="preserve">Classification head: Linear(d_model → 3 classes). Wrap with te.Linear for FP8.</w:t>
      </w:r>
    </w:p>
    <w:p>
      <w:pPr>
        <w:pStyle w:val="ListParagraph"/>
        <w:numPr>
          <w:ilvl w:val="0"/>
          <w:numId w:val="3"/>
        </w:numPr>
        <w:spacing w:after="40" w:before="40"/>
      </w:pPr>
      <w:r>
        <w:t xml:space="preserve">Total parameters: roughly 1–3M. Small by modern standards, but appropriate for the data scale.</w:t>
      </w:r>
    </w:p>
    <w:p>
      <w:pPr>
        <w:pStyle w:val="Heading2"/>
      </w:pPr>
      <w:r>
        <w:t xml:space="preserve">9.3 Training setup</w:t>
      </w:r>
    </w:p>
    <w:p>
      <w:pPr>
        <w:pStyle w:val="ListParagraph"/>
        <w:numPr>
          <w:ilvl w:val="0"/>
          <w:numId w:val="3"/>
        </w:numPr>
        <w:spacing w:after="40" w:before="40"/>
      </w:pPr>
      <w:r>
        <w:t xml:space="preserve">Optimizer: AdamW, lr=1e-3 with cosine decay, weight_decay=0.1</w:t>
      </w:r>
    </w:p>
    <w:p>
      <w:pPr>
        <w:pStyle w:val="ListParagraph"/>
        <w:numPr>
          <w:ilvl w:val="0"/>
          <w:numId w:val="3"/>
        </w:numPr>
        <w:spacing w:after="40" w:before="40"/>
      </w:pPr>
      <w:r>
        <w:t xml:space="preserve">Batch size: 256 sequences (well within 96 GB)</w:t>
      </w:r>
    </w:p>
    <w:p>
      <w:pPr>
        <w:pStyle w:val="ListParagraph"/>
        <w:numPr>
          <w:ilvl w:val="0"/>
          <w:numId w:val="3"/>
        </w:numPr>
        <w:spacing w:after="40" w:before="40"/>
      </w:pPr>
      <w:r>
        <w:t xml:space="preserve">Sequence length: 1024 events for the main run (vary in scaling experiment)</w:t>
      </w:r>
    </w:p>
    <w:p>
      <w:pPr>
        <w:pStyle w:val="ListParagraph"/>
        <w:numPr>
          <w:ilvl w:val="0"/>
          <w:numId w:val="3"/>
        </w:numPr>
        <w:spacing w:after="40" w:before="40"/>
      </w:pPr>
      <w:r>
        <w:t xml:space="preserve">Loss: cross-entropy with class weights inversely proportional to class frequency</w:t>
      </w:r>
    </w:p>
    <w:p>
      <w:pPr>
        <w:pStyle w:val="ListParagraph"/>
        <w:numPr>
          <w:ilvl w:val="0"/>
          <w:numId w:val="3"/>
        </w:numPr>
        <w:spacing w:after="40" w:before="40"/>
      </w:pPr>
      <w:r>
        <w:t xml:space="preserve">Mixed precision: bf16 for the SSM core, FP8 (via Float8BlockScaling) for in_proj/out_proj/MLP</w:t>
      </w:r>
    </w:p>
    <w:p>
      <w:pPr>
        <w:pStyle w:val="ListParagraph"/>
        <w:numPr>
          <w:ilvl w:val="0"/>
          <w:numId w:val="3"/>
        </w:numPr>
        <w:spacing w:after="40" w:before="40"/>
      </w:pPr>
      <w:r>
        <w:t xml:space="preserve">Gradient clipping at 1.0</w:t>
      </w:r>
    </w:p>
    <w:p>
      <w:pPr>
        <w:pStyle w:val="ListParagraph"/>
        <w:numPr>
          <w:ilvl w:val="0"/>
          <w:numId w:val="3"/>
        </w:numPr>
        <w:spacing w:after="40" w:before="40"/>
      </w:pPr>
      <w:r>
        <w:t xml:space="preserve">Train for 30–50 epochs with early stopping on validation macro-F1</w:t>
      </w:r>
    </w:p>
    <w:p>
      <w:pPr>
        <w:pStyle w:val="ListParagraph"/>
        <w:numPr>
          <w:ilvl w:val="0"/>
          <w:numId w:val="3"/>
        </w:numPr>
        <w:spacing w:after="40" w:before="40"/>
      </w:pPr>
      <w:r>
        <w:t xml:space="preserve">Checkpoint every epoch; save best by validation F1</w:t>
      </w:r>
    </w:p>
    <w:p>
      <w:pPr>
        <w:pStyle w:val="Heading2"/>
      </w:pPr>
      <w:r>
        <w:t xml:space="preserve">9.4 FP8 training protocol</w:t>
      </w:r>
    </w:p>
    <w:p>
      <w:pPr>
        <w:pStyle w:val="ListParagraph"/>
        <w:numPr>
          <w:ilvl w:val="0"/>
          <w:numId w:val="2"/>
        </w:numPr>
        <w:spacing w:after="40" w:before="40"/>
      </w:pPr>
      <w:r>
        <w:t xml:space="preserve">First, train the entire model in pure bf16. Save final F1 and tokens/sec. This is the reference.</w:t>
      </w:r>
    </w:p>
    <w:p>
      <w:pPr>
        <w:pStyle w:val="ListParagraph"/>
        <w:numPr>
          <w:ilvl w:val="0"/>
          <w:numId w:val="2"/>
        </w:numPr>
        <w:spacing w:after="40" w:before="40"/>
      </w:pPr>
      <w:r>
        <w:t xml:space="preserve">Then, train with FP8 on projection layers only (SSM core in bf16). Save final F1, tokens/sec, peak memory.</w:t>
      </w:r>
    </w:p>
    <w:p>
      <w:pPr>
        <w:pStyle w:val="ListParagraph"/>
        <w:numPr>
          <w:ilvl w:val="0"/>
          <w:numId w:val="2"/>
        </w:numPr>
        <w:spacing w:after="40" w:before="40"/>
      </w:pPr>
      <w:r>
        <w:t xml:space="preserve">If FP8 final F1 is within 0.5% of bf16, declare numerically equivalent and use FP8 for all 5 experiment cells.</w:t>
      </w:r>
    </w:p>
    <w:p>
      <w:pPr>
        <w:pStyle w:val="ListParagraph"/>
        <w:numPr>
          <w:ilvl w:val="0"/>
          <w:numId w:val="2"/>
        </w:numPr>
        <w:spacing w:after="40" w:before="40"/>
      </w:pPr>
      <w:r>
        <w:t xml:space="preserve">If FP8 diverges or destabilizes training, document it as a finding and use bf16 for the rest of the experiments.</w:t>
      </w:r>
    </w:p>
    <w:p>
      <w:pPr>
        <w:pStyle w:val="ListParagraph"/>
        <w:numPr>
          <w:ilvl w:val="0"/>
          <w:numId w:val="2"/>
        </w:numPr>
        <w:spacing w:after="40" w:before="40"/>
      </w:pPr>
      <w:r>
        <w:t xml:space="preserve">Record loss curves for both. The comparison plot is part of the writeup.</w:t>
      </w:r>
    </w:p>
    <w:p>
      <w:pPr>
        <w:pStyle w:val="Heading2"/>
      </w:pPr>
      <w:r>
        <w:t xml:space="preserve">9.5 Long-context experiment</w:t>
      </w:r>
    </w:p>
    <w:p>
      <w:pPr>
        <w:spacing w:after="80" w:before="80"/>
      </w:pPr>
      <w:r>
        <w:t xml:space="preserve">This is where Mamba is supposed to shine. Vary sequence length: 100, 500, 1000, 5000, 10000 events. For each length, train one model on March in-regime, record final F1 and training tokens/sec. Plot F1 and throughput as a function of sequence length. If F1 monotonically improves with length, that is direct evidence the SSM is using long-range information; if it plateaus at length 500, that is a real and publishable finding too.</w:t>
      </w:r>
    </w:p>
    <w:p>
      <w:pPr>
        <w:pStyle w:val="Heading2"/>
      </w:pPr>
      <w:r>
        <w:t xml:space="preserve">9.6 Deliverable</w:t>
      </w:r>
    </w:p>
    <w:p>
      <w:pPr>
        <w:pStyle w:val="ListParagraph"/>
        <w:numPr>
          <w:ilvl w:val="0"/>
          <w:numId w:val="3"/>
        </w:numPr>
        <w:spacing w:after="40" w:before="40"/>
      </w:pPr>
      <w:r>
        <w:t xml:space="preserve">Complete Mamba-2 results across all 5 experiment cells.</w:t>
      </w:r>
    </w:p>
    <w:p>
      <w:pPr>
        <w:pStyle w:val="ListParagraph"/>
        <w:numPr>
          <w:ilvl w:val="0"/>
          <w:numId w:val="3"/>
        </w:numPr>
        <w:spacing w:after="40" w:before="40"/>
      </w:pPr>
      <w:r>
        <w:t xml:space="preserve">bf16 vs FP8 comparison table.</w:t>
      </w:r>
    </w:p>
    <w:p>
      <w:pPr>
        <w:pStyle w:val="ListParagraph"/>
        <w:numPr>
          <w:ilvl w:val="0"/>
          <w:numId w:val="3"/>
        </w:numPr>
        <w:spacing w:after="40" w:before="40"/>
      </w:pPr>
      <w:r>
        <w:t xml:space="preserve">Length-scaling plot.</w:t>
      </w:r>
    </w:p>
    <w:p>
      <w:pPr>
        <w:pStyle w:val="ListParagraph"/>
        <w:numPr>
          <w:ilvl w:val="0"/>
          <w:numId w:val="3"/>
        </w:numPr>
        <w:spacing w:after="40" w:before="40"/>
      </w:pPr>
      <w:r>
        <w:t xml:space="preserve">Trained model checkpoints saved for later backtest.</w:t>
      </w:r>
    </w:p>
    <w:p>
      <w:r>
        <w:br w:type="page"/>
      </w:r>
    </w:p>
    <w:p>
      <w:pPr>
        <w:pStyle w:val="Heading1"/>
      </w:pPr>
      <w:r>
        <w:t xml:space="preserve">10. Phase 4 — Economic Backtest (Week 5)</w:t>
      </w:r>
    </w:p>
    <w:p>
      <w:pPr>
        <w:spacing w:after="80" w:before="80"/>
      </w:pPr>
      <w:r>
        <w:t xml:space="preserve">Goal: turn predictions into PnL with realistic transaction costs. This is what gets the interview.</w:t>
      </w:r>
    </w:p>
    <w:p>
      <w:pPr>
        <w:pStyle w:val="Heading2"/>
      </w:pPr>
      <w:r>
        <w:t xml:space="preserve">10.1 Simulator design</w:t>
      </w:r>
    </w:p>
    <w:p>
      <w:pPr>
        <w:pStyle w:val="ListParagraph"/>
        <w:numPr>
          <w:ilvl w:val="0"/>
          <w:numId w:val="3"/>
        </w:numPr>
        <w:spacing w:after="40" w:before="40"/>
      </w:pPr>
      <w:r>
        <w:t xml:space="preserve">Strategy: at each event, take the model's prediction. If 'up' with confidence &gt; τ, simulate buying at the ask. If 'down' with confidence &gt; τ, simulate selling at the bid. Otherwise hold.</w:t>
      </w:r>
    </w:p>
    <w:p>
      <w:pPr>
        <w:pStyle w:val="ListParagraph"/>
        <w:numPr>
          <w:ilvl w:val="0"/>
          <w:numId w:val="3"/>
        </w:numPr>
        <w:spacing w:after="40" w:before="40"/>
      </w:pPr>
      <w:r>
        <w:t xml:space="preserve">Hold for k events (matching the prediction horizon used in training), then exit at the then-current opposite side of the book.</w:t>
      </w:r>
    </w:p>
    <w:p>
      <w:pPr>
        <w:pStyle w:val="ListParagraph"/>
        <w:numPr>
          <w:ilvl w:val="0"/>
          <w:numId w:val="3"/>
        </w:numPr>
        <w:spacing w:after="40" w:before="40"/>
      </w:pPr>
      <w:r>
        <w:t xml:space="preserve">Charge full half-spread per side as transaction cost. Do not use mid-price fills — that is the single most common backtest cheat.</w:t>
      </w:r>
    </w:p>
    <w:p>
      <w:pPr>
        <w:pStyle w:val="ListParagraph"/>
        <w:numPr>
          <w:ilvl w:val="0"/>
          <w:numId w:val="3"/>
        </w:numPr>
        <w:spacing w:after="40" w:before="40"/>
      </w:pPr>
      <w:r>
        <w:t xml:space="preserve">No exchange fees, taker rebates, or slippage modeled. State this clearly. Real costs are higher; results here are an upper bound.</w:t>
      </w:r>
    </w:p>
    <w:p>
      <w:pPr>
        <w:pStyle w:val="ListParagraph"/>
        <w:numPr>
          <w:ilvl w:val="0"/>
          <w:numId w:val="3"/>
        </w:numPr>
        <w:spacing w:after="40" w:before="40"/>
      </w:pPr>
      <w:r>
        <w:t xml:space="preserve">Position size: constant 1 share per trade. The point is per-trade economics, not portfolio sizing.</w:t>
      </w:r>
    </w:p>
    <w:p>
      <w:pPr>
        <w:pStyle w:val="Heading2"/>
      </w:pPr>
      <w:r>
        <w:t xml:space="preserve">10.2 Metrics</w:t>
      </w:r>
    </w:p>
    <w:p>
      <w:pPr>
        <w:pStyle w:val="ListParagraph"/>
        <w:numPr>
          <w:ilvl w:val="0"/>
          <w:numId w:val="3"/>
        </w:numPr>
        <w:spacing w:after="40" w:before="40"/>
      </w:pPr>
      <w:r>
        <w:t xml:space="preserve">Total PnL in dollars and basis points</w:t>
      </w:r>
    </w:p>
    <w:p>
      <w:pPr>
        <w:pStyle w:val="ListParagraph"/>
        <w:numPr>
          <w:ilvl w:val="0"/>
          <w:numId w:val="3"/>
        </w:numPr>
        <w:spacing w:after="40" w:before="40"/>
      </w:pPr>
      <w:r>
        <w:t xml:space="preserve">Annualized Sharpe (use sqrt(252 × trades_per_day) for proper scaling at event level)</w:t>
      </w:r>
    </w:p>
    <w:p>
      <w:pPr>
        <w:pStyle w:val="ListParagraph"/>
        <w:numPr>
          <w:ilvl w:val="0"/>
          <w:numId w:val="3"/>
        </w:numPr>
        <w:spacing w:after="40" w:before="40"/>
      </w:pPr>
      <w:r>
        <w:t xml:space="preserve">Hit rate (fraction of profitable trades)</w:t>
      </w:r>
    </w:p>
    <w:p>
      <w:pPr>
        <w:pStyle w:val="ListParagraph"/>
        <w:numPr>
          <w:ilvl w:val="0"/>
          <w:numId w:val="3"/>
        </w:numPr>
        <w:spacing w:after="40" w:before="40"/>
      </w:pPr>
      <w:r>
        <w:t xml:space="preserve">Average trade PnL in basis points</w:t>
      </w:r>
    </w:p>
    <w:p>
      <w:pPr>
        <w:pStyle w:val="ListParagraph"/>
        <w:numPr>
          <w:ilvl w:val="0"/>
          <w:numId w:val="3"/>
        </w:numPr>
        <w:spacing w:after="40" w:before="40"/>
      </w:pPr>
      <w:r>
        <w:t xml:space="preserve">Turnover (trades per day)</w:t>
      </w:r>
    </w:p>
    <w:p>
      <w:pPr>
        <w:pStyle w:val="ListParagraph"/>
        <w:numPr>
          <w:ilvl w:val="0"/>
          <w:numId w:val="3"/>
        </w:numPr>
        <w:spacing w:after="40" w:before="40"/>
      </w:pPr>
      <w:r>
        <w:t xml:space="preserve">Maximum drawdown</w:t>
      </w:r>
    </w:p>
    <w:p>
      <w:pPr>
        <w:pStyle w:val="ListParagraph"/>
        <w:numPr>
          <w:ilvl w:val="0"/>
          <w:numId w:val="3"/>
        </w:numPr>
        <w:spacing w:after="40" w:before="40"/>
      </w:pPr>
      <w:r>
        <w:t xml:space="preserve">Equity curve plot</w:t>
      </w:r>
    </w:p>
    <w:p>
      <w:pPr>
        <w:pStyle w:val="Heading2"/>
      </w:pPr>
      <w:r>
        <w:t xml:space="preserve">10.3 Threshold sweep</w:t>
      </w:r>
    </w:p>
    <w:p>
      <w:pPr>
        <w:spacing w:after="80" w:before="80"/>
      </w:pPr>
      <w:r>
        <w:t xml:space="preserve">Plot Sharpe vs prediction-confidence threshold τ for τ ∈ [0.34, 0.99]. At τ=0.34 the model trades on every prediction (turnover dominates costs). At τ=0.99 it trades almost never (no statistical power). The interesting region is in the middle. Most apparent edge dies in the middle once costs are properly accounted for. Show the curve honestly.</w:t>
      </w:r>
    </w:p>
    <w:p>
      <w:pPr>
        <w:pStyle w:val="Heading2"/>
      </w:pPr>
      <w:r>
        <w:t xml:space="preserve">10.4 Honesty checklist</w:t>
      </w:r>
    </w:p>
    <w:p>
      <w:pPr>
        <w:pStyle w:val="ListParagraph"/>
        <w:numPr>
          <w:ilvl w:val="0"/>
          <w:numId w:val="3"/>
        </w:numPr>
        <w:spacing w:after="40" w:before="40"/>
      </w:pPr>
      <w:r>
        <w:t xml:space="preserve">Do not report any Sharpe above ~2 without checking for a bug.</w:t>
      </w:r>
    </w:p>
    <w:p>
      <w:pPr>
        <w:pStyle w:val="ListParagraph"/>
        <w:numPr>
          <w:ilvl w:val="0"/>
          <w:numId w:val="3"/>
        </w:numPr>
        <w:spacing w:after="40" w:before="40"/>
      </w:pPr>
      <w:r>
        <w:t xml:space="preserve">Verify all trades use forward-looking exits (current event's prediction, k-events-later exit).</w:t>
      </w:r>
    </w:p>
    <w:p>
      <w:pPr>
        <w:pStyle w:val="ListParagraph"/>
        <w:numPr>
          <w:ilvl w:val="0"/>
          <w:numId w:val="3"/>
        </w:numPr>
        <w:spacing w:after="40" w:before="40"/>
      </w:pPr>
      <w:r>
        <w:t xml:space="preserve">Confirm the test set was never seen during model training or threshold tuning.</w:t>
      </w:r>
    </w:p>
    <w:p>
      <w:pPr>
        <w:pStyle w:val="ListParagraph"/>
        <w:numPr>
          <w:ilvl w:val="0"/>
          <w:numId w:val="3"/>
        </w:numPr>
        <w:spacing w:after="40" w:before="40"/>
      </w:pPr>
      <w:r>
        <w:t xml:space="preserve">If results look too good to be true, they are. Find the leak.</w:t>
      </w:r>
    </w:p>
    <w:p>
      <w:pPr>
        <w:pStyle w:val="Heading2"/>
      </w:pPr>
      <w:r>
        <w:t xml:space="preserve">10.5 Deliverable</w:t>
      </w:r>
    </w:p>
    <w:p>
      <w:pPr>
        <w:pStyle w:val="ListParagraph"/>
        <w:numPr>
          <w:ilvl w:val="0"/>
          <w:numId w:val="3"/>
        </w:numPr>
        <w:spacing w:after="40" w:before="40"/>
      </w:pPr>
      <w:r>
        <w:t xml:space="preserve">Equity curves for both LightGBM and Mamba-2 across all 5 experiment cells.</w:t>
      </w:r>
    </w:p>
    <w:p>
      <w:pPr>
        <w:pStyle w:val="ListParagraph"/>
        <w:numPr>
          <w:ilvl w:val="0"/>
          <w:numId w:val="3"/>
        </w:numPr>
        <w:spacing w:after="40" w:before="40"/>
      </w:pPr>
      <w:r>
        <w:t xml:space="preserve">Sharpe-vs-threshold plots.</w:t>
      </w:r>
    </w:p>
    <w:p>
      <w:pPr>
        <w:pStyle w:val="ListParagraph"/>
        <w:numPr>
          <w:ilvl w:val="0"/>
          <w:numId w:val="3"/>
        </w:numPr>
        <w:spacing w:after="40" w:before="40"/>
      </w:pPr>
      <w:r>
        <w:t xml:space="preserve">Risk-adjusted metrics summary table.</w:t>
      </w:r>
    </w:p>
    <w:p>
      <w:pPr>
        <w:pStyle w:val="Heading1"/>
      </w:pPr>
      <w:r>
        <w:t xml:space="preserve">11. Phase 5 — Writeup and Polish (Week 6)</w:t>
      </w:r>
    </w:p>
    <w:p>
      <w:pPr>
        <w:spacing w:after="80" w:before="80"/>
      </w:pPr>
      <w:r>
        <w:t xml:space="preserve">Goal: make it readable, findable, and credible.</w:t>
      </w:r>
    </w:p>
    <w:p>
      <w:pPr>
        <w:pStyle w:val="Heading2"/>
      </w:pPr>
      <w:r>
        <w:t xml:space="preserve">11.1 README.md</w:t>
      </w:r>
    </w:p>
    <w:p>
      <w:pPr>
        <w:spacing w:after="80" w:before="80"/>
      </w:pPr>
      <w:r>
        <w:t xml:space="preserve">The only thing 95% of viewers will read. Structure:</w:t>
      </w:r>
    </w:p>
    <w:p>
      <w:pPr>
        <w:pStyle w:val="ListParagraph"/>
        <w:numPr>
          <w:ilvl w:val="0"/>
          <w:numId w:val="2"/>
        </w:numPr>
        <w:spacing w:after="40" w:before="40"/>
      </w:pPr>
      <w:r>
        <w:t xml:space="preserve">Motivation (2 paragraphs)</w:t>
      </w:r>
    </w:p>
    <w:p>
      <w:pPr>
        <w:pStyle w:val="ListParagraph"/>
        <w:numPr>
          <w:ilvl w:val="0"/>
          <w:numId w:val="2"/>
        </w:numPr>
        <w:spacing w:after="40" w:before="40"/>
      </w:pPr>
      <w:r>
        <w:t xml:space="preserve">Data (1 paragraph + table of dates)</w:t>
      </w:r>
    </w:p>
    <w:p>
      <w:pPr>
        <w:pStyle w:val="ListParagraph"/>
        <w:numPr>
          <w:ilvl w:val="0"/>
          <w:numId w:val="2"/>
        </w:numPr>
        <w:spacing w:after="40" w:before="40"/>
      </w:pPr>
      <w:r>
        <w:t xml:space="preserve">Methods (architecture diagrams, hyperparameters)</w:t>
      </w:r>
    </w:p>
    <w:p>
      <w:pPr>
        <w:pStyle w:val="ListParagraph"/>
        <w:numPr>
          <w:ilvl w:val="0"/>
          <w:numId w:val="2"/>
        </w:numPr>
        <w:spacing w:after="40" w:before="40"/>
      </w:pPr>
      <w:r>
        <w:t xml:space="preserve">Headline result figure (cross-regime degradation matrix)</w:t>
      </w:r>
    </w:p>
    <w:p>
      <w:pPr>
        <w:pStyle w:val="ListParagraph"/>
        <w:numPr>
          <w:ilvl w:val="0"/>
          <w:numId w:val="2"/>
        </w:numPr>
        <w:spacing w:after="40" w:before="40"/>
      </w:pPr>
      <w:r>
        <w:t xml:space="preserve">Caveats and limitations (in plain language)</w:t>
      </w:r>
    </w:p>
    <w:p>
      <w:pPr>
        <w:pStyle w:val="ListParagraph"/>
        <w:numPr>
          <w:ilvl w:val="0"/>
          <w:numId w:val="2"/>
        </w:numPr>
        <w:spacing w:after="40" w:before="40"/>
      </w:pPr>
      <w:r>
        <w:t xml:space="preserve">Reproduction instructions (exact commands to rerun)</w:t>
      </w:r>
    </w:p>
    <w:p>
      <w:pPr>
        <w:pStyle w:val="Heading2"/>
      </w:pPr>
      <w:r>
        <w:t xml:space="preserve">11.2 Results notebook</w:t>
      </w:r>
    </w:p>
    <w:p>
      <w:pPr>
        <w:pStyle w:val="ListParagraph"/>
        <w:numPr>
          <w:ilvl w:val="0"/>
          <w:numId w:val="3"/>
        </w:numPr>
        <w:spacing w:after="40" w:before="40"/>
      </w:pPr>
      <w:r>
        <w:t xml:space="preserve">Single Jupyter notebook that loads results JSON, renders all figures and tables, and exports to a PDF report.</w:t>
      </w:r>
    </w:p>
    <w:p>
      <w:pPr>
        <w:pStyle w:val="ListParagraph"/>
        <w:numPr>
          <w:ilvl w:val="0"/>
          <w:numId w:val="3"/>
        </w:numPr>
        <w:spacing w:after="40" w:before="40"/>
      </w:pPr>
      <w:r>
        <w:t xml:space="preserve">Every figure caption written as if for a paper.</w:t>
      </w:r>
    </w:p>
    <w:p>
      <w:pPr>
        <w:pStyle w:val="Heading2"/>
      </w:pPr>
      <w:r>
        <w:t xml:space="preserve">11.3 Technical blog post</w:t>
      </w:r>
    </w:p>
    <w:p>
      <w:pPr>
        <w:spacing w:after="80" w:before="80"/>
      </w:pPr>
      <w:r>
        <w:t xml:space="preserve">One blog post on Medium, Substack, or a personal site. Suggested title: 'Mamba-2 vs LightGBM for SPY Order Book Prediction: A Cross-Regime Microstructure Study.' Length 1500–2500 words. This is what gets you found by quant recruiters. Link from the GitHub README and from your LinkedIn.</w:t>
      </w:r>
    </w:p>
    <w:p>
      <w:pPr>
        <w:pStyle w:val="Heading2"/>
      </w:pPr>
      <w:r>
        <w:t xml:space="preserve">11.4 Limitations section</w:t>
      </w:r>
    </w:p>
    <w:p>
      <w:pPr>
        <w:spacing w:after="80" w:before="80"/>
      </w:pPr>
      <w:r>
        <w:t xml:space="preserve">Write this in week 1, update it weekly. Final version goes in README and blog post. Required content:</w:t>
      </w:r>
    </w:p>
    <w:p>
      <w:pPr>
        <w:pStyle w:val="ListParagraph"/>
        <w:numPr>
          <w:ilvl w:val="0"/>
          <w:numId w:val="3"/>
        </w:numPr>
        <w:spacing w:after="40" w:before="40"/>
      </w:pPr>
      <w:r>
        <w:t xml:space="preserve">Two regimes is n=2. Conclusions are suggestive.</w:t>
      </w:r>
    </w:p>
    <w:p>
      <w:pPr>
        <w:pStyle w:val="ListParagraph"/>
        <w:numPr>
          <w:ilvl w:val="0"/>
          <w:numId w:val="3"/>
        </w:numPr>
        <w:spacing w:after="40" w:before="40"/>
      </w:pPr>
      <w:r>
        <w:t xml:space="preserve">One symbol. No cross-asset claims.</w:t>
      </w:r>
    </w:p>
    <w:p>
      <w:pPr>
        <w:pStyle w:val="ListParagraph"/>
        <w:numPr>
          <w:ilvl w:val="0"/>
          <w:numId w:val="3"/>
        </w:numPr>
        <w:spacing w:after="40" w:before="40"/>
      </w:pPr>
      <w:r>
        <w:t xml:space="preserve">April 2 itself is not in the data.</w:t>
      </w:r>
    </w:p>
    <w:p>
      <w:pPr>
        <w:pStyle w:val="ListParagraph"/>
        <w:numPr>
          <w:ilvl w:val="0"/>
          <w:numId w:val="3"/>
        </w:numPr>
        <w:spacing w:after="40" w:before="40"/>
      </w:pPr>
      <w:r>
        <w:t xml:space="preserve">MBP-10 is aggregated; queue position not modeled.</w:t>
      </w:r>
    </w:p>
    <w:p>
      <w:pPr>
        <w:pStyle w:val="ListParagraph"/>
        <w:numPr>
          <w:ilvl w:val="0"/>
          <w:numId w:val="3"/>
        </w:numPr>
        <w:spacing w:after="40" w:before="40"/>
      </w:pPr>
      <w:r>
        <w:t xml:space="preserve">Costs in backtest are an underestimate (no fees, no slippage).</w:t>
      </w:r>
    </w:p>
    <w:p>
      <w:pPr>
        <w:pStyle w:val="ListParagraph"/>
        <w:numPr>
          <w:ilvl w:val="0"/>
          <w:numId w:val="3"/>
        </w:numPr>
        <w:spacing w:after="40" w:before="40"/>
      </w:pPr>
      <w:r>
        <w:t xml:space="preserve">Model selection (best epoch) was on validation set; test sets used only for final reporting.</w:t>
      </w:r>
    </w:p>
    <w:p>
      <w:pPr>
        <w:pStyle w:val="Heading2"/>
      </w:pPr>
      <w:r>
        <w:t xml:space="preserve">11.5 Interview-prep file (private)</w:t>
      </w:r>
    </w:p>
    <w:p>
      <w:pPr>
        <w:spacing w:after="80" w:before="80"/>
      </w:pPr>
      <w:r>
        <w:t xml:space="preserve">Not for the public repo. For your own preparation:</w:t>
      </w:r>
    </w:p>
    <w:p>
      <w:pPr>
        <w:pStyle w:val="ListParagraph"/>
        <w:numPr>
          <w:ilvl w:val="0"/>
          <w:numId w:val="3"/>
        </w:numPr>
        <w:spacing w:after="40" w:before="40"/>
      </w:pPr>
      <w:r>
        <w:t xml:space="preserve">What would I do with 12 months of data?</w:t>
      </w:r>
    </w:p>
    <w:p>
      <w:pPr>
        <w:pStyle w:val="ListParagraph"/>
        <w:numPr>
          <w:ilvl w:val="0"/>
          <w:numId w:val="3"/>
        </w:numPr>
        <w:spacing w:after="40" w:before="40"/>
      </w:pPr>
      <w:r>
        <w:t xml:space="preserve">What is the strongest critique of my methodology?</w:t>
      </w:r>
    </w:p>
    <w:p>
      <w:pPr>
        <w:pStyle w:val="ListParagraph"/>
        <w:numPr>
          <w:ilvl w:val="0"/>
          <w:numId w:val="3"/>
        </w:numPr>
        <w:spacing w:after="40" w:before="40"/>
      </w:pPr>
      <w:r>
        <w:t xml:space="preserve">What did FP8 break, if anything? What would I change?</w:t>
      </w:r>
    </w:p>
    <w:p>
      <w:pPr>
        <w:pStyle w:val="ListParagraph"/>
        <w:numPr>
          <w:ilvl w:val="0"/>
          <w:numId w:val="3"/>
        </w:numPr>
        <w:spacing w:after="40" w:before="40"/>
      </w:pPr>
      <w:r>
        <w:t xml:space="preserve">Why Mamba-2 and not Mamba-3 / Transformer / xLSTM?</w:t>
      </w:r>
    </w:p>
    <w:p>
      <w:pPr>
        <w:pStyle w:val="ListParagraph"/>
        <w:numPr>
          <w:ilvl w:val="0"/>
          <w:numId w:val="3"/>
        </w:numPr>
        <w:spacing w:after="40" w:before="40"/>
      </w:pPr>
      <w:r>
        <w:t xml:space="preserve">How would I deploy this in production?</w:t>
      </w:r>
    </w:p>
    <w:p>
      <w:pPr>
        <w:pStyle w:val="Heading1"/>
      </w:pPr>
      <w:r>
        <w:t xml:space="preserve">12. Timeline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960"/>
        <w:gridCol w:w="1800"/>
        <w:gridCol w:w="1800"/>
      </w:tblGrid>
      <w:tr>
        <w:trPr>
          <w:tblHeader/>
        </w:trPr>
        <w:tc>
          <w:tcPr>
            <w:tcW w:type="dxa" w:w="800"/>
            <w:tcBorders>
              <w:top w:val="single" w:color="BFBFBF" w:sz="1"/>
              <w:left w:val="single" w:color="BFBFBF" w:sz="1"/>
              <w:bottom w:val="single" w:color="BFBFBF" w:sz="1"/>
              <w:right w:val="single" w:color="BFBFBF" w:sz="1"/>
            </w:tcBorders>
            <w:shd w:fill="1F3A5F" w:val="clear"/>
            <w:tcMar>
              <w:top w:type="dxa" w:w="100"/>
              <w:left w:type="dxa" w:w="140"/>
              <w:bottom w:type="dxa" w:w="100"/>
              <w:right w:type="dxa" w:w="140"/>
            </w:tcMar>
          </w:tcPr>
          <w:p>
            <w:r>
              <w:rPr>
                <w:b/>
                <w:bCs/>
                <w:color w:val="FFFFFF"/>
              </w:rPr>
              <w:t xml:space="preserve">Phase</w:t>
            </w:r>
          </w:p>
        </w:tc>
        <w:tc>
          <w:tcPr>
            <w:tcW w:type="dxa" w:w="4960"/>
            <w:tcBorders>
              <w:top w:val="single" w:color="BFBFBF" w:sz="1"/>
              <w:left w:val="single" w:color="BFBFBF" w:sz="1"/>
              <w:bottom w:val="single" w:color="BFBFBF" w:sz="1"/>
              <w:right w:val="single" w:color="BFBFBF" w:sz="1"/>
            </w:tcBorders>
            <w:shd w:fill="1F3A5F" w:val="clear"/>
            <w:tcMar>
              <w:top w:type="dxa" w:w="100"/>
              <w:left w:type="dxa" w:w="140"/>
              <w:bottom w:type="dxa" w:w="100"/>
              <w:right w:type="dxa" w:w="140"/>
            </w:tcMar>
          </w:tcPr>
          <w:p>
            <w:r>
              <w:rPr>
                <w:b/>
                <w:bCs/>
                <w:color w:val="FFFFFF"/>
              </w:rPr>
              <w:t xml:space="preserve">Description</w:t>
            </w:r>
          </w:p>
        </w:tc>
        <w:tc>
          <w:tcPr>
            <w:tcW w:type="dxa" w:w="1800"/>
            <w:tcBorders>
              <w:top w:val="single" w:color="BFBFBF" w:sz="1"/>
              <w:left w:val="single" w:color="BFBFBF" w:sz="1"/>
              <w:bottom w:val="single" w:color="BFBFBF" w:sz="1"/>
              <w:right w:val="single" w:color="BFBFBF" w:sz="1"/>
            </w:tcBorders>
            <w:shd w:fill="1F3A5F" w:val="clear"/>
            <w:tcMar>
              <w:top w:type="dxa" w:w="100"/>
              <w:left w:type="dxa" w:w="140"/>
              <w:bottom w:type="dxa" w:w="100"/>
              <w:right w:type="dxa" w:w="140"/>
            </w:tcMar>
          </w:tcPr>
          <w:p>
            <w:r>
              <w:rPr>
                <w:b/>
                <w:bCs/>
                <w:color w:val="FFFFFF"/>
              </w:rPr>
              <w:t xml:space="preserve">Part-time</w:t>
            </w:r>
          </w:p>
        </w:tc>
        <w:tc>
          <w:tcPr>
            <w:tcW w:type="dxa" w:w="1800"/>
            <w:tcBorders>
              <w:top w:val="single" w:color="BFBFBF" w:sz="1"/>
              <w:left w:val="single" w:color="BFBFBF" w:sz="1"/>
              <w:bottom w:val="single" w:color="BFBFBF" w:sz="1"/>
              <w:right w:val="single" w:color="BFBFBF" w:sz="1"/>
            </w:tcBorders>
            <w:shd w:fill="1F3A5F" w:val="clear"/>
            <w:tcMar>
              <w:top w:type="dxa" w:w="100"/>
              <w:left w:type="dxa" w:w="140"/>
              <w:bottom w:type="dxa" w:w="100"/>
              <w:right w:type="dxa" w:w="140"/>
            </w:tcMar>
          </w:tcPr>
          <w:p>
            <w:r>
              <w:rPr>
                <w:b/>
                <w:bCs/>
                <w:color w:val="FFFFFF"/>
              </w:rPr>
              <w:t xml:space="preserve">Full-time</w:t>
            </w:r>
          </w:p>
        </w:tc>
      </w:tr>
      <w:tr>
        <w:tc>
          <w:tcPr>
            <w:tcW w:type="dxa" w:w="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0</w:t>
            </w:r>
          </w:p>
        </w:tc>
        <w:tc>
          <w:tcPr>
            <w:tcW w:type="dxa" w:w="4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Setup, sanity checks, FP8 path verification</w:t>
            </w:r>
          </w:p>
        </w:tc>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2 days</w:t>
            </w:r>
          </w:p>
        </w:tc>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1 day</w:t>
            </w:r>
          </w:p>
        </w:tc>
      </w:tr>
      <w:tr>
        <w:tc>
          <w:tcPr>
            <w:tcW w:type="dxa" w:w="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1</w:t>
            </w:r>
          </w:p>
        </w:tc>
        <w:tc>
          <w:tcPr>
            <w:tcW w:type="dxa" w:w="4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Data pipeline + LOB reconstruction</w:t>
            </w:r>
          </w:p>
        </w:tc>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1 week</w:t>
            </w:r>
          </w:p>
        </w:tc>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4 days</w:t>
            </w:r>
          </w:p>
        </w:tc>
      </w:tr>
      <w:tr>
        <w:tc>
          <w:tcPr>
            <w:tcW w:type="dxa" w:w="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2</w:t>
            </w:r>
          </w:p>
        </w:tc>
        <w:tc>
          <w:tcPr>
            <w:tcW w:type="dxa" w:w="4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LightGBM baseline + lock harness</w:t>
            </w:r>
          </w:p>
        </w:tc>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1 week</w:t>
            </w:r>
          </w:p>
        </w:tc>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3 days</w:t>
            </w:r>
          </w:p>
        </w:tc>
      </w:tr>
      <w:tr>
        <w:tc>
          <w:tcPr>
            <w:tcW w:type="dxa" w:w="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3</w:t>
            </w:r>
          </w:p>
        </w:tc>
        <w:tc>
          <w:tcPr>
            <w:tcW w:type="dxa" w:w="4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Mamba-2 model + FP8 study + length scaling</w:t>
            </w:r>
          </w:p>
        </w:tc>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2 weeks</w:t>
            </w:r>
          </w:p>
        </w:tc>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1 week</w:t>
            </w:r>
          </w:p>
        </w:tc>
      </w:tr>
      <w:tr>
        <w:tc>
          <w:tcPr>
            <w:tcW w:type="dxa" w:w="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4</w:t>
            </w:r>
          </w:p>
        </w:tc>
        <w:tc>
          <w:tcPr>
            <w:tcW w:type="dxa" w:w="4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Economic backtest</w:t>
            </w:r>
          </w:p>
        </w:tc>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1 week</w:t>
            </w:r>
          </w:p>
        </w:tc>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3 days</w:t>
            </w:r>
          </w:p>
        </w:tc>
      </w:tr>
      <w:tr>
        <w:tc>
          <w:tcPr>
            <w:tcW w:type="dxa" w:w="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5</w:t>
            </w:r>
          </w:p>
        </w:tc>
        <w:tc>
          <w:tcPr>
            <w:tcW w:type="dxa" w:w="4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Writeup + blog post</w:t>
            </w:r>
          </w:p>
        </w:tc>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1 week</w:t>
            </w:r>
          </w:p>
        </w:tc>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3 days</w:t>
            </w:r>
          </w:p>
        </w:tc>
      </w:tr>
      <w:tr>
        <w:tc>
          <w:tcPr>
            <w:tcW w:type="dxa" w:w="800"/>
            <w:tcBorders>
              <w:top w:val="single" w:color="BFBFBF" w:sz="1"/>
              <w:left w:val="single" w:color="BFBFBF" w:sz="1"/>
              <w:bottom w:val="single" w:color="BFBFBF" w:sz="1"/>
              <w:right w:val="single" w:color="BFBFBF" w:sz="1"/>
            </w:tcBorders>
            <w:shd w:fill="1F3A5F" w:val="clear"/>
            <w:tcMar>
              <w:top w:type="dxa" w:w="100"/>
              <w:left w:type="dxa" w:w="140"/>
              <w:bottom w:type="dxa" w:w="100"/>
              <w:right w:type="dxa" w:w="140"/>
            </w:tcMar>
          </w:tcPr>
          <w:p>
            <w:r>
              <w:rPr>
                <w:b/>
                <w:bCs/>
                <w:color w:val="FFFFFF"/>
              </w:rPr>
              <w:t xml:space="preserve">Total</w:t>
            </w:r>
          </w:p>
        </w:tc>
        <w:tc>
          <w:tcPr>
            <w:tcW w:type="dxa" w:w="4960"/>
            <w:tcBorders>
              <w:top w:val="single" w:color="BFBFBF" w:sz="1"/>
              <w:left w:val="single" w:color="BFBFBF" w:sz="1"/>
              <w:bottom w:val="single" w:color="BFBFBF" w:sz="1"/>
              <w:right w:val="single" w:color="BFBFBF" w:sz="1"/>
            </w:tcBorders>
            <w:shd w:fill="1F3A5F" w:val="clear"/>
            <w:tcMar>
              <w:top w:type="dxa" w:w="100"/>
              <w:left w:type="dxa" w:w="140"/>
              <w:bottom w:type="dxa" w:w="100"/>
              <w:right w:type="dxa" w:w="140"/>
            </w:tcMar>
          </w:tcPr>
          <w:p>
            <w:r>
              <w:rPr>
                <w:b/>
                <w:bCs/>
                <w:color w:val="FFFFFF"/>
              </w:rPr>
              <w:t xml:space="preserve"/>
            </w:r>
          </w:p>
        </w:tc>
        <w:tc>
          <w:tcPr>
            <w:tcW w:type="dxa" w:w="1800"/>
            <w:tcBorders>
              <w:top w:val="single" w:color="BFBFBF" w:sz="1"/>
              <w:left w:val="single" w:color="BFBFBF" w:sz="1"/>
              <w:bottom w:val="single" w:color="BFBFBF" w:sz="1"/>
              <w:right w:val="single" w:color="BFBFBF" w:sz="1"/>
            </w:tcBorders>
            <w:shd w:fill="1F3A5F" w:val="clear"/>
            <w:tcMar>
              <w:top w:type="dxa" w:w="100"/>
              <w:left w:type="dxa" w:w="140"/>
              <w:bottom w:type="dxa" w:w="100"/>
              <w:right w:type="dxa" w:w="140"/>
            </w:tcMar>
          </w:tcPr>
          <w:p>
            <w:r>
              <w:rPr>
                <w:b/>
                <w:bCs/>
                <w:color w:val="FFFFFF"/>
              </w:rPr>
              <w:t xml:space="preserve">~6 weeks</w:t>
            </w:r>
          </w:p>
        </w:tc>
        <w:tc>
          <w:tcPr>
            <w:tcW w:type="dxa" w:w="1800"/>
            <w:tcBorders>
              <w:top w:val="single" w:color="BFBFBF" w:sz="1"/>
              <w:left w:val="single" w:color="BFBFBF" w:sz="1"/>
              <w:bottom w:val="single" w:color="BFBFBF" w:sz="1"/>
              <w:right w:val="single" w:color="BFBFBF" w:sz="1"/>
            </w:tcBorders>
            <w:shd w:fill="1F3A5F" w:val="clear"/>
            <w:tcMar>
              <w:top w:type="dxa" w:w="100"/>
              <w:left w:type="dxa" w:w="140"/>
              <w:bottom w:type="dxa" w:w="100"/>
              <w:right w:type="dxa" w:w="140"/>
            </w:tcMar>
          </w:tcPr>
          <w:p>
            <w:r>
              <w:rPr>
                <w:b/>
                <w:bCs/>
                <w:color w:val="FFFFFF"/>
              </w:rPr>
              <w:t xml:space="preserve">~3 weeks</w:t>
            </w:r>
          </w:p>
        </w:tc>
      </w:tr>
    </w:tbl>
    <w:p>
      <w:pPr>
        <w:pStyle w:val="Heading1"/>
      </w:pPr>
      <w:r>
        <w:t xml:space="preserve">13. Risks and Mitigations</w:t>
      </w:r>
    </w:p>
    <w:p>
      <w:pPr>
        <w:pStyle w:val="Heading2"/>
      </w:pPr>
      <w:r>
        <w:t xml:space="preserve">13.1 Toolchain risks</w:t>
      </w:r>
    </w:p>
    <w:p>
      <w:pPr>
        <w:pStyle w:val="ListParagraph"/>
        <w:numPr>
          <w:ilvl w:val="0"/>
          <w:numId w:val="3"/>
        </w:numPr>
        <w:spacing w:after="40" w:before="40"/>
      </w:pPr>
      <w:r>
        <w:rPr>
          <w:b/>
          <w:bCs/>
        </w:rPr>
        <w:t xml:space="preserve">Risk: </w:t>
      </w:r>
      <w:r>
        <w:t xml:space="preserve">Mamba kernels do not compile on sm_120. </w:t>
      </w:r>
      <w:r>
        <w:rPr>
          <w:b/>
          <w:bCs/>
        </w:rPr>
        <w:t xml:space="preserve">Mitigation: </w:t>
      </w:r>
      <w:r>
        <w:t xml:space="preserve">verify in Phase 0. If broken, fall back to mamba-ssm's pure PyTorch reference implementation (slower but functional) or use the Mamba2 layer from a hybrid library like nv-mamba.</w:t>
      </w:r>
    </w:p>
    <w:p>
      <w:pPr>
        <w:pStyle w:val="ListParagraph"/>
        <w:numPr>
          <w:ilvl w:val="0"/>
          <w:numId w:val="3"/>
        </w:numPr>
        <w:spacing w:after="40" w:before="40"/>
      </w:pPr>
      <w:r>
        <w:rPr>
          <w:b/>
          <w:bCs/>
        </w:rPr>
        <w:t xml:space="preserve">Risk: </w:t>
      </w:r>
      <w:r>
        <w:t xml:space="preserve">FP8 path on sm_120 errors out. </w:t>
      </w:r>
      <w:r>
        <w:rPr>
          <w:b/>
          <w:bCs/>
        </w:rPr>
        <w:t xml:space="preserve">Mitigation: </w:t>
      </w:r>
      <w:r>
        <w:t xml:space="preserve">verify in Phase 0. If both Float8BlockScaling and MXFP8BlockScaling fail, train in pure bf16. Document the failure as a finding; do not block on it.</w:t>
      </w:r>
    </w:p>
    <w:p>
      <w:pPr>
        <w:pStyle w:val="Heading2"/>
      </w:pPr>
      <w:r>
        <w:t xml:space="preserve">13.2 Methodology risks</w:t>
      </w:r>
    </w:p>
    <w:p>
      <w:pPr>
        <w:pStyle w:val="ListParagraph"/>
        <w:numPr>
          <w:ilvl w:val="0"/>
          <w:numId w:val="3"/>
        </w:numPr>
        <w:spacing w:after="40" w:before="40"/>
      </w:pPr>
      <w:r>
        <w:rPr>
          <w:b/>
          <w:bCs/>
        </w:rPr>
        <w:t xml:space="preserve">Risk: </w:t>
      </w:r>
      <w:r>
        <w:t xml:space="preserve">Data leakage via raw prices. </w:t>
      </w:r>
      <w:r>
        <w:rPr>
          <w:b/>
          <w:bCs/>
        </w:rPr>
        <w:t xml:space="preserve">Mitigation: </w:t>
      </w:r>
      <w:r>
        <w:t xml:space="preserve">use only log-returns and normalized features; run a sanity-check model on raw prices alone and confirm cross-regime F1 is at chance.</w:t>
      </w:r>
    </w:p>
    <w:p>
      <w:pPr>
        <w:pStyle w:val="ListParagraph"/>
        <w:numPr>
          <w:ilvl w:val="0"/>
          <w:numId w:val="3"/>
        </w:numPr>
        <w:spacing w:after="40" w:before="40"/>
      </w:pPr>
      <w:r>
        <w:rPr>
          <w:b/>
          <w:bCs/>
        </w:rPr>
        <w:t xml:space="preserve">Risk: </w:t>
      </w:r>
      <w:r>
        <w:t xml:space="preserve">Mamba does not beat LightGBM. </w:t>
      </w:r>
      <w:r>
        <w:rPr>
          <w:b/>
          <w:bCs/>
        </w:rPr>
        <w:t xml:space="preserve">Mitigation: </w:t>
      </w:r>
      <w:r>
        <w:t xml:space="preserve">this is a perfectly publishable finding. The methodology and clean comparison are the value, not the architecture winning. Write it up honestly.</w:t>
      </w:r>
    </w:p>
    <w:p>
      <w:pPr>
        <w:pStyle w:val="ListParagraph"/>
        <w:numPr>
          <w:ilvl w:val="0"/>
          <w:numId w:val="3"/>
        </w:numPr>
        <w:spacing w:after="40" w:before="40"/>
      </w:pPr>
      <w:r>
        <w:rPr>
          <w:b/>
          <w:bCs/>
        </w:rPr>
        <w:t xml:space="preserve">Risk: </w:t>
      </w:r>
      <w:r>
        <w:t xml:space="preserve">Backtest Sharpe is implausibly high. </w:t>
      </w:r>
      <w:r>
        <w:rPr>
          <w:b/>
          <w:bCs/>
        </w:rPr>
        <w:t xml:space="preserve">Mitigation: </w:t>
      </w:r>
      <w:r>
        <w:t xml:space="preserve">look for leaks. Common ones: using current event for both prediction and label; computing normalization on test set; threshold tuned on test set.</w:t>
      </w:r>
    </w:p>
    <w:p>
      <w:pPr>
        <w:pStyle w:val="Heading2"/>
      </w:pPr>
      <w:r>
        <w:t xml:space="preserve">13.3 Project-management risks</w:t>
      </w:r>
    </w:p>
    <w:p>
      <w:pPr>
        <w:pStyle w:val="ListParagraph"/>
        <w:numPr>
          <w:ilvl w:val="0"/>
          <w:numId w:val="3"/>
        </w:numPr>
        <w:spacing w:after="40" w:before="40"/>
      </w:pPr>
      <w:r>
        <w:rPr>
          <w:b/>
          <w:bCs/>
        </w:rPr>
        <w:t xml:space="preserve">Risk: </w:t>
      </w:r>
      <w:r>
        <w:t xml:space="preserve">Phase 1 takes 3x longer than estimated. </w:t>
      </w:r>
      <w:r>
        <w:rPr>
          <w:b/>
          <w:bCs/>
        </w:rPr>
        <w:t xml:space="preserve">Mitigation: </w:t>
      </w:r>
      <w:r>
        <w:t xml:space="preserve">this is the most common failure mode. Build a v1 of every phase before perfecting any phase. Get LightGBM and Mamba running end-to-end at minimum quality before tuning.</w:t>
      </w:r>
    </w:p>
    <w:p>
      <w:pPr>
        <w:pStyle w:val="ListParagraph"/>
        <w:numPr>
          <w:ilvl w:val="0"/>
          <w:numId w:val="3"/>
        </w:numPr>
        <w:spacing w:after="40" w:before="40"/>
      </w:pPr>
      <w:r>
        <w:rPr>
          <w:b/>
          <w:bCs/>
        </w:rPr>
        <w:t xml:space="preserve">Risk: </w:t>
      </w:r>
      <w:r>
        <w:t xml:space="preserve">Scope creep (adding more models, more data). </w:t>
      </w:r>
      <w:r>
        <w:rPr>
          <w:b/>
          <w:bCs/>
        </w:rPr>
        <w:t xml:space="preserve">Mitigation: </w:t>
      </w:r>
      <w:r>
        <w:t xml:space="preserve">all stretch goals go in a backlog file. Nothing gets added to the main project until Phase 5 is complete.</w:t>
      </w:r>
    </w:p>
    <w:p>
      <w:pPr>
        <w:pStyle w:val="Heading1"/>
      </w:pPr>
      <w:r>
        <w:t xml:space="preserve">14. What This Project Claims and Does Not Claim</w:t>
      </w:r>
    </w:p>
    <w:p>
      <w:pPr>
        <w:pStyle w:val="Heading2"/>
      </w:pPr>
      <w:r>
        <w:t xml:space="preserve">14.1 Claims</w:t>
      </w:r>
    </w:p>
    <w:p>
      <w:pPr>
        <w:pStyle w:val="ListParagraph"/>
        <w:numPr>
          <w:ilvl w:val="0"/>
          <w:numId w:val="3"/>
        </w:numPr>
        <w:spacing w:after="40" w:before="40"/>
      </w:pPr>
      <w:r>
        <w:t xml:space="preserve">A controlled comparison of two architectures (LightGBM, Mamba-2) on real L2 order book data.</w:t>
      </w:r>
    </w:p>
    <w:p>
      <w:pPr>
        <w:pStyle w:val="ListParagraph"/>
        <w:numPr>
          <w:ilvl w:val="0"/>
          <w:numId w:val="3"/>
        </w:numPr>
        <w:spacing w:after="40" w:before="40"/>
      </w:pPr>
      <w:r>
        <w:t xml:space="preserve">Quantified degradation patterns when transferring across two distinct market regimes.</w:t>
      </w:r>
    </w:p>
    <w:p>
      <w:pPr>
        <w:pStyle w:val="ListParagraph"/>
        <w:numPr>
          <w:ilvl w:val="0"/>
          <w:numId w:val="3"/>
        </w:numPr>
        <w:spacing w:after="40" w:before="40"/>
      </w:pPr>
      <w:r>
        <w:t xml:space="preserve">A reproducible pipeline from raw Databento DBN to evaluation.</w:t>
      </w:r>
    </w:p>
    <w:p>
      <w:pPr>
        <w:pStyle w:val="ListParagraph"/>
        <w:numPr>
          <w:ilvl w:val="0"/>
          <w:numId w:val="3"/>
        </w:numPr>
        <w:spacing w:after="40" w:before="40"/>
      </w:pPr>
      <w:r>
        <w:t xml:space="preserve">An honest report on what works, what does not, and what additional data would be needed.</w:t>
      </w:r>
    </w:p>
    <w:p>
      <w:pPr>
        <w:pStyle w:val="ListParagraph"/>
        <w:numPr>
          <w:ilvl w:val="0"/>
          <w:numId w:val="3"/>
        </w:numPr>
        <w:spacing w:after="40" w:before="40"/>
      </w:pPr>
      <w:r>
        <w:t xml:space="preserve">A systems study of FP8 mixed-precision training stability on Mamba projection layers (subject to sm_120 toolchain support).</w:t>
      </w:r>
    </w:p>
    <w:p>
      <w:pPr>
        <w:pStyle w:val="Heading2"/>
      </w:pPr>
      <w:r>
        <w:t xml:space="preserve">14.2 Does not claim</w:t>
      </w:r>
    </w:p>
    <w:p>
      <w:pPr>
        <w:pStyle w:val="ListParagraph"/>
        <w:numPr>
          <w:ilvl w:val="0"/>
          <w:numId w:val="3"/>
        </w:numPr>
        <w:spacing w:after="40" w:before="40"/>
      </w:pPr>
      <w:r>
        <w:t xml:space="preserve">This is a deployable trading strategy. It is not.</w:t>
      </w:r>
    </w:p>
    <w:p>
      <w:pPr>
        <w:pStyle w:val="ListParagraph"/>
        <w:numPr>
          <w:ilvl w:val="0"/>
          <w:numId w:val="3"/>
        </w:numPr>
        <w:spacing w:after="40" w:before="40"/>
      </w:pPr>
      <w:r>
        <w:t xml:space="preserve">Mamba-2 'beats Transformers for HFT' broadly. The study is on one symbol, two regimes.</w:t>
      </w:r>
    </w:p>
    <w:p>
      <w:pPr>
        <w:pStyle w:val="ListParagraph"/>
        <w:numPr>
          <w:ilvl w:val="0"/>
          <w:numId w:val="3"/>
        </w:numPr>
        <w:spacing w:after="40" w:before="40"/>
      </w:pPr>
      <w:r>
        <w:t xml:space="preserve">Any Sharpe ratio above ~1 is alpha. Treat all such numbers as in-sample artifacts until proven otherwise.</w:t>
      </w:r>
    </w:p>
    <w:p>
      <w:pPr>
        <w:pStyle w:val="ListParagraph"/>
        <w:numPr>
          <w:ilvl w:val="0"/>
          <w:numId w:val="3"/>
        </w:numPr>
        <w:spacing w:after="40" w:before="40"/>
      </w:pPr>
      <w:r>
        <w:t xml:space="preserve">Generalization to unseen symbols, asset classes, or market regimes.</w:t>
      </w:r>
    </w:p>
    <w:p>
      <w:pPr>
        <w:pStyle w:val="Heading1"/>
      </w:pPr>
      <w:r>
        <w:t xml:space="preserve">15. Stretch Goals (Only If Phase 5 Is Complete)</w:t>
      </w:r>
    </w:p>
    <w:p>
      <w:pPr>
        <w:spacing w:after="80" w:before="80"/>
      </w:pPr>
      <w:r>
        <w:t xml:space="preserve">Strict rule: nothing here is touched until the core project is shipped, blog post published, and limitations section finalized. In rough order of value-per-effort:</w:t>
      </w:r>
    </w:p>
    <w:p>
      <w:pPr>
        <w:pStyle w:val="ListParagraph"/>
        <w:numPr>
          <w:ilvl w:val="0"/>
          <w:numId w:val="2"/>
        </w:numPr>
        <w:spacing w:after="40" w:before="40"/>
      </w:pPr>
      <w:r>
        <w:t xml:space="preserve">Add Mamba-3 as a comparison. Same training setup, same 5 experiment cells. Headline becomes 'Mamba-3 vs Mamba-2 vs LightGBM.'</w:t>
      </w:r>
    </w:p>
    <w:p>
      <w:pPr>
        <w:pStyle w:val="ListParagraph"/>
        <w:numPr>
          <w:ilvl w:val="0"/>
          <w:numId w:val="2"/>
        </w:numPr>
        <w:spacing w:after="40" w:before="40"/>
      </w:pPr>
      <w:r>
        <w:t xml:space="preserve">Add probabilistic forecasting (Mamba-ProbTSF style dual network) for calibrated uncertainty. Quant interviewers love this.</w:t>
      </w:r>
    </w:p>
    <w:p>
      <w:pPr>
        <w:pStyle w:val="ListParagraph"/>
        <w:numPr>
          <w:ilvl w:val="0"/>
          <w:numId w:val="2"/>
        </w:numPr>
        <w:spacing w:after="40" w:before="40"/>
      </w:pPr>
      <w:r>
        <w:t xml:space="preserve">Add QQQ or IWM for one held-out test day to demonstrate cross-asset transfer (or its absence).</w:t>
      </w:r>
    </w:p>
    <w:p>
      <w:pPr>
        <w:pStyle w:val="ListParagraph"/>
        <w:numPr>
          <w:ilvl w:val="0"/>
          <w:numId w:val="2"/>
        </w:numPr>
        <w:spacing w:after="40" w:before="40"/>
      </w:pPr>
      <w:r>
        <w:t xml:space="preserve">Multi-horizon prediction: predict at k=10, 50, 100 simultaneously with a shared backbone.</w:t>
      </w:r>
    </w:p>
    <w:p>
      <w:pPr>
        <w:pStyle w:val="ListParagraph"/>
        <w:numPr>
          <w:ilvl w:val="0"/>
          <w:numId w:val="2"/>
        </w:numPr>
        <w:spacing w:after="40" w:before="40"/>
      </w:pPr>
      <w:r>
        <w:t xml:space="preserve">Pull one stressed week (e.g., early April 2025 tariff shock) for a true regime-shift stress test.</w:t>
      </w:r>
    </w:p>
    <w:p>
      <w:pPr>
        <w:pStyle w:val="Heading1"/>
      </w:pPr>
      <w:r>
        <w:t xml:space="preserve">16. Appendix — Day 1 Commands</w:t>
      </w:r>
    </w:p>
    <w:p>
      <w:pPr>
        <w:spacing w:after="80" w:before="80"/>
      </w:pPr>
      <w:r>
        <w:t xml:space="preserve">Exact commands to run on Day 1, in order:</w:t>
      </w:r>
    </w:p>
    <w:p>
      <w:pPr>
        <w:shd w:fill="F2F2F2" w:val="clear"/>
        <w:spacing w:after="60" w:before="60"/>
      </w:pPr>
      <w:r>
        <w:rPr>
          <w:rFonts w:ascii="Consolas" w:cs="Consolas" w:eastAsia="Consolas" w:hAnsi="Consolas"/>
          <w:sz w:val="18"/>
          <w:szCs w:val="18"/>
        </w:rPr>
        <w:t xml:space="preserve"># 1. Create env</w:t>
      </w:r>
    </w:p>
    <w:p>
      <w:pPr>
        <w:shd w:fill="F2F2F2" w:val="clear"/>
        <w:spacing w:after="60" w:before="60"/>
      </w:pPr>
      <w:r>
        <w:rPr>
          <w:rFonts w:ascii="Consolas" w:cs="Consolas" w:eastAsia="Consolas" w:hAnsi="Consolas"/>
          <w:sz w:val="18"/>
          <w:szCs w:val="18"/>
        </w:rPr>
        <w:t xml:space="preserve">conda create -n mambalob python=3.12 -y</w:t>
      </w:r>
    </w:p>
    <w:p>
      <w:pPr>
        <w:shd w:fill="F2F2F2" w:val="clear"/>
        <w:spacing w:after="60" w:before="60"/>
      </w:pPr>
      <w:r>
        <w:rPr>
          <w:rFonts w:ascii="Consolas" w:cs="Consolas" w:eastAsia="Consolas" w:hAnsi="Consolas"/>
          <w:sz w:val="18"/>
          <w:szCs w:val="18"/>
        </w:rPr>
        <w:t xml:space="preserve">conda activate mambalob</w:t>
      </w:r>
    </w:p>
    <w:p>
      <w:pPr>
        <w:shd w:fill="F2F2F2" w:val="clear"/>
        <w:spacing w:after="60" w:before="60"/>
      </w:pPr>
      <w:r>
        <w:rPr>
          <w:rFonts w:ascii="Consolas" w:cs="Consolas" w:eastAsia="Consolas" w:hAnsi="Consolas"/>
          <w:sz w:val="18"/>
          <w:szCs w:val="18"/>
        </w:rPr>
        <w:t xml:space="preserve"/>
      </w:r>
    </w:p>
    <w:p>
      <w:pPr>
        <w:shd w:fill="F2F2F2" w:val="clear"/>
        <w:spacing w:after="60" w:before="60"/>
      </w:pPr>
      <w:r>
        <w:rPr>
          <w:rFonts w:ascii="Consolas" w:cs="Consolas" w:eastAsia="Consolas" w:hAnsi="Consolas"/>
          <w:sz w:val="18"/>
          <w:szCs w:val="18"/>
        </w:rPr>
        <w:t xml:space="preserve"># 2. PyTorch nightly with cu128 (sm_120 support)</w:t>
      </w:r>
    </w:p>
    <w:p>
      <w:pPr>
        <w:shd w:fill="F2F2F2" w:val="clear"/>
        <w:spacing w:after="60" w:before="60"/>
      </w:pPr>
      <w:r>
        <w:rPr>
          <w:rFonts w:ascii="Consolas" w:cs="Consolas" w:eastAsia="Consolas" w:hAnsi="Consolas"/>
          <w:sz w:val="18"/>
          <w:szCs w:val="18"/>
        </w:rPr>
        <w:t xml:space="preserve">pip install --pre torch torchvision torchaudio --index-url https://download.pytorch.org/whl/nightly/cu128</w:t>
      </w:r>
    </w:p>
    <w:p>
      <w:pPr>
        <w:shd w:fill="F2F2F2" w:val="clear"/>
        <w:spacing w:after="60" w:before="60"/>
      </w:pPr>
      <w:r>
        <w:rPr>
          <w:rFonts w:ascii="Consolas" w:cs="Consolas" w:eastAsia="Consolas" w:hAnsi="Consolas"/>
          <w:sz w:val="18"/>
          <w:szCs w:val="18"/>
        </w:rPr>
        <w:t xml:space="preserve"/>
      </w:r>
    </w:p>
    <w:p>
      <w:pPr>
        <w:shd w:fill="F2F2F2" w:val="clear"/>
        <w:spacing w:after="60" w:before="60"/>
      </w:pPr>
      <w:r>
        <w:rPr>
          <w:rFonts w:ascii="Consolas" w:cs="Consolas" w:eastAsia="Consolas" w:hAnsi="Consolas"/>
          <w:sz w:val="18"/>
          <w:szCs w:val="18"/>
        </w:rPr>
        <w:t xml:space="preserve"># 3. Verify GPU is recognized</w:t>
      </w:r>
    </w:p>
    <w:p>
      <w:pPr>
        <w:shd w:fill="F2F2F2" w:val="clear"/>
        <w:spacing w:after="60" w:before="60"/>
      </w:pPr>
      <w:r>
        <w:rPr>
          <w:rFonts w:ascii="Consolas" w:cs="Consolas" w:eastAsia="Consolas" w:hAnsi="Consolas"/>
          <w:sz w:val="18"/>
          <w:szCs w:val="18"/>
        </w:rPr>
        <w:t xml:space="preserve">python -c "import torch; print(torch.cuda.get_device_capability(0))"</w:t>
      </w:r>
    </w:p>
    <w:p>
      <w:pPr>
        <w:shd w:fill="F2F2F2" w:val="clear"/>
        <w:spacing w:after="60" w:before="60"/>
      </w:pPr>
      <w:r>
        <w:rPr>
          <w:rFonts w:ascii="Consolas" w:cs="Consolas" w:eastAsia="Consolas" w:hAnsi="Consolas"/>
          <w:sz w:val="18"/>
          <w:szCs w:val="18"/>
        </w:rPr>
        <w:t xml:space="preserve"># Expected output: (12, 0)</w:t>
      </w:r>
    </w:p>
    <w:p>
      <w:pPr>
        <w:shd w:fill="F2F2F2" w:val="clear"/>
        <w:spacing w:after="60" w:before="60"/>
      </w:pPr>
      <w:r>
        <w:rPr>
          <w:rFonts w:ascii="Consolas" w:cs="Consolas" w:eastAsia="Consolas" w:hAnsi="Consolas"/>
          <w:sz w:val="18"/>
          <w:szCs w:val="18"/>
        </w:rPr>
        <w:t xml:space="preserve"/>
      </w:r>
    </w:p>
    <w:p>
      <w:pPr>
        <w:shd w:fill="F2F2F2" w:val="clear"/>
        <w:spacing w:after="60" w:before="60"/>
      </w:pPr>
      <w:r>
        <w:rPr>
          <w:rFonts w:ascii="Consolas" w:cs="Consolas" w:eastAsia="Consolas" w:hAnsi="Consolas"/>
          <w:sz w:val="18"/>
          <w:szCs w:val="18"/>
        </w:rPr>
        <w:t xml:space="preserve"># 4. Mamba kernels</w:t>
      </w:r>
    </w:p>
    <w:p>
      <w:pPr>
        <w:shd w:fill="F2F2F2" w:val="clear"/>
        <w:spacing w:after="60" w:before="60"/>
      </w:pPr>
      <w:r>
        <w:rPr>
          <w:rFonts w:ascii="Consolas" w:cs="Consolas" w:eastAsia="Consolas" w:hAnsi="Consolas"/>
          <w:sz w:val="18"/>
          <w:szCs w:val="18"/>
        </w:rPr>
        <w:t xml:space="preserve">pip install causal-conv1d&gt;=1.4.0</w:t>
      </w:r>
    </w:p>
    <w:p>
      <w:pPr>
        <w:shd w:fill="F2F2F2" w:val="clear"/>
        <w:spacing w:after="60" w:before="60"/>
      </w:pPr>
      <w:r>
        <w:rPr>
          <w:rFonts w:ascii="Consolas" w:cs="Consolas" w:eastAsia="Consolas" w:hAnsi="Consolas"/>
          <w:sz w:val="18"/>
          <w:szCs w:val="18"/>
        </w:rPr>
        <w:t xml:space="preserve">pip install mamba-ssm</w:t>
      </w:r>
    </w:p>
    <w:p>
      <w:pPr>
        <w:shd w:fill="F2F2F2" w:val="clear"/>
        <w:spacing w:after="60" w:before="60"/>
      </w:pPr>
      <w:r>
        <w:rPr>
          <w:rFonts w:ascii="Consolas" w:cs="Consolas" w:eastAsia="Consolas" w:hAnsi="Consolas"/>
          <w:sz w:val="18"/>
          <w:szCs w:val="18"/>
        </w:rPr>
        <w:t xml:space="preserve"/>
      </w:r>
    </w:p>
    <w:p>
      <w:pPr>
        <w:shd w:fill="F2F2F2" w:val="clear"/>
        <w:spacing w:after="60" w:before="60"/>
      </w:pPr>
      <w:r>
        <w:rPr>
          <w:rFonts w:ascii="Consolas" w:cs="Consolas" w:eastAsia="Consolas" w:hAnsi="Consolas"/>
          <w:sz w:val="18"/>
          <w:szCs w:val="18"/>
        </w:rPr>
        <w:t xml:space="preserve"># 5. Transformer Engine</w:t>
      </w:r>
    </w:p>
    <w:p>
      <w:pPr>
        <w:shd w:fill="F2F2F2" w:val="clear"/>
        <w:spacing w:after="60" w:before="60"/>
      </w:pPr>
      <w:r>
        <w:rPr>
          <w:rFonts w:ascii="Consolas" w:cs="Consolas" w:eastAsia="Consolas" w:hAnsi="Consolas"/>
          <w:sz w:val="18"/>
          <w:szCs w:val="18"/>
        </w:rPr>
        <w:t xml:space="preserve">pip install transformer-engine[pytorch]</w:t>
      </w:r>
    </w:p>
    <w:p>
      <w:pPr>
        <w:shd w:fill="F2F2F2" w:val="clear"/>
        <w:spacing w:after="60" w:before="60"/>
      </w:pPr>
      <w:r>
        <w:rPr>
          <w:rFonts w:ascii="Consolas" w:cs="Consolas" w:eastAsia="Consolas" w:hAnsi="Consolas"/>
          <w:sz w:val="18"/>
          <w:szCs w:val="18"/>
        </w:rPr>
        <w:t xml:space="preserve"/>
      </w:r>
    </w:p>
    <w:p>
      <w:pPr>
        <w:shd w:fill="F2F2F2" w:val="clear"/>
        <w:spacing w:after="60" w:before="60"/>
      </w:pPr>
      <w:r>
        <w:rPr>
          <w:rFonts w:ascii="Consolas" w:cs="Consolas" w:eastAsia="Consolas" w:hAnsi="Consolas"/>
          <w:sz w:val="18"/>
          <w:szCs w:val="18"/>
        </w:rPr>
        <w:t xml:space="preserve"># 6. Quant + data libs</w:t>
      </w:r>
    </w:p>
    <w:p>
      <w:pPr>
        <w:shd w:fill="F2F2F2" w:val="clear"/>
        <w:spacing w:after="60" w:before="60"/>
      </w:pPr>
      <w:r>
        <w:rPr>
          <w:rFonts w:ascii="Consolas" w:cs="Consolas" w:eastAsia="Consolas" w:hAnsi="Consolas"/>
          <w:sz w:val="18"/>
          <w:szCs w:val="18"/>
        </w:rPr>
        <w:t xml:space="preserve">pip install databento lightgbm pandas pyarrow numpy scikit-learn</w:t>
      </w:r>
    </w:p>
    <w:p>
      <w:pPr>
        <w:shd w:fill="F2F2F2" w:val="clear"/>
        <w:spacing w:after="60" w:before="60"/>
      </w:pPr>
      <w:r>
        <w:rPr>
          <w:rFonts w:ascii="Consolas" w:cs="Consolas" w:eastAsia="Consolas" w:hAnsi="Consolas"/>
          <w:sz w:val="18"/>
          <w:szCs w:val="18"/>
        </w:rPr>
        <w:t xml:space="preserve">pip install matplotlib seaborn tqdm wandb</w:t>
      </w:r>
    </w:p>
    <w:p>
      <w:pPr>
        <w:shd w:fill="F2F2F2" w:val="clear"/>
        <w:spacing w:after="60" w:before="60"/>
      </w:pPr>
      <w:r>
        <w:rPr>
          <w:rFonts w:ascii="Consolas" w:cs="Consolas" w:eastAsia="Consolas" w:hAnsi="Consolas"/>
          <w:sz w:val="18"/>
          <w:szCs w:val="18"/>
        </w:rPr>
        <w:t xml:space="preserve"/>
      </w:r>
    </w:p>
    <w:p>
      <w:pPr>
        <w:shd w:fill="F2F2F2" w:val="clear"/>
        <w:spacing w:after="60" w:before="60"/>
      </w:pPr>
      <w:r>
        <w:rPr>
          <w:rFonts w:ascii="Consolas" w:cs="Consolas" w:eastAsia="Consolas" w:hAnsi="Consolas"/>
          <w:sz w:val="18"/>
          <w:szCs w:val="18"/>
        </w:rPr>
        <w:t xml:space="preserve"># 7. Sanity test: Mamba forward pass</w:t>
      </w:r>
    </w:p>
    <w:p>
      <w:pPr>
        <w:shd w:fill="F2F2F2" w:val="clear"/>
        <w:spacing w:after="60" w:before="60"/>
      </w:pPr>
      <w:r>
        <w:rPr>
          <w:rFonts w:ascii="Consolas" w:cs="Consolas" w:eastAsia="Consolas" w:hAnsi="Consolas"/>
          <w:sz w:val="18"/>
          <w:szCs w:val="18"/>
        </w:rPr>
        <w:t xml:space="preserve">python -c "import torch; from mamba_ssm import Mamba2; m = Mamba2(d_model=128).cuda(); x = torch.randn(2, 512, 128).cuda(); print(m(x).shape)"</w:t>
      </w:r>
    </w:p>
    <w:p>
      <w:pPr>
        <w:shd w:fill="F2F2F2" w:val="clear"/>
        <w:spacing w:after="60" w:before="60"/>
      </w:pPr>
      <w:r>
        <w:rPr>
          <w:rFonts w:ascii="Consolas" w:cs="Consolas" w:eastAsia="Consolas" w:hAnsi="Consolas"/>
          <w:sz w:val="18"/>
          <w:szCs w:val="18"/>
        </w:rPr>
        <w:t xml:space="preserve"/>
      </w:r>
    </w:p>
    <w:p>
      <w:pPr>
        <w:shd w:fill="F2F2F2" w:val="clear"/>
        <w:spacing w:after="60" w:before="60"/>
      </w:pPr>
      <w:r>
        <w:rPr>
          <w:rFonts w:ascii="Consolas" w:cs="Consolas" w:eastAsia="Consolas" w:hAnsi="Consolas"/>
          <w:sz w:val="18"/>
          <w:szCs w:val="18"/>
        </w:rPr>
        <w:t xml:space="preserve"># 8. Sanity test: TE FP8 path on sm_120</w:t>
      </w:r>
    </w:p>
    <w:p>
      <w:pPr>
        <w:shd w:fill="F2F2F2" w:val="clear"/>
        <w:spacing w:after="60" w:before="60"/>
      </w:pPr>
      <w:r>
        <w:rPr>
          <w:rFonts w:ascii="Consolas" w:cs="Consolas" w:eastAsia="Consolas" w:hAnsi="Consolas"/>
          <w:sz w:val="18"/>
          <w:szCs w:val="18"/>
        </w:rPr>
        <w:t xml:space="preserve"># Use Float8BlockScaling, NOT MXFP8BlockScaling</w:t>
      </w:r>
    </w:p>
    <w:p>
      <w:pPr>
        <w:shd w:fill="F2F2F2" w:val="clear"/>
        <w:spacing w:after="60" w:before="60"/>
      </w:pPr>
      <w:r>
        <w:rPr>
          <w:rFonts w:ascii="Consolas" w:cs="Consolas" w:eastAsia="Consolas" w:hAnsi="Consolas"/>
          <w:sz w:val="18"/>
          <w:szCs w:val="18"/>
        </w:rPr>
        <w:t xml:space="preserve"># (See environment_check.md for the exact test script)</w:t>
      </w:r>
    </w:p>
    <w:p>
      <w:pPr>
        <w:pStyle w:val="Heading1"/>
      </w:pPr>
      <w:r>
        <w:t xml:space="preserve">17. Closing Notes</w:t>
      </w:r>
    </w:p>
    <w:p>
      <w:pPr>
        <w:spacing w:after="80" w:before="80"/>
      </w:pPr>
      <w:r>
        <w:t xml:space="preserve">The single most important rule for this project: ship a v1 of every phase before perfecting any phase. The temptation to spend three weeks tuning Mamba hyperparameters before the LightGBM baseline is finished is the project's biggest risk. Resist it.</w:t>
      </w:r>
    </w:p>
    <w:p>
      <w:pPr>
        <w:spacing w:after="80" w:before="80"/>
      </w:pPr>
      <w:r>
        <w:t xml:space="preserve">The second most important rule: write the limitations section in week 1 and update it weekly. The candidates who get hired by quant research teams are not the ones who claim a 3.5 Sharpe on 22 days of data. They are the ones who say: 'here is what I built, here is exactly what I can and cannot conclude from it, and here is what I would do next with more data.' Write the project as if you are pre-empting that interview.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2026-05-07T18:45:31.942Z</dcterms:created>
  <dcterms:modified xsi:type="dcterms:W3CDTF">2026-05-07T18:45:31.943Z</dcterms:modified>
</cp:coreProperties>
</file>

<file path=docProps/custom.xml><?xml version="1.0" encoding="utf-8"?>
<Properties xmlns="http://schemas.openxmlformats.org/officeDocument/2006/custom-properties" xmlns:vt="http://schemas.openxmlformats.org/officeDocument/2006/docPropsVTypes"/>
</file>