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Minutes of Meeting: MVP Review &amp; Discussion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27-02-2026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MVP Review, Market Alternatives, and Value Proposition Refinement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Key Discussions &amp; Evaluator Feedback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Existing Solutions &amp; Triangulation:</w:t>
      </w:r>
      <w:r w:rsidDel="00000000" w:rsidR="00000000" w:rsidRPr="00000000">
        <w:rPr>
          <w:rtl w:val="0"/>
        </w:rPr>
        <w:t xml:space="preserve"> It was noted that alternative triangulation methods and pre-existing tracking solutions are currently deployed in the market for our specific problem statement.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IR vs. LWIR Tracking: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For tracking moving targets with active heat signatures (such as jet exhausts), standard IR sensors are a highly common, easily deployable industry standard.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Technical Clarification:</w:t>
      </w:r>
      <w:r w:rsidDel="00000000" w:rsidR="00000000" w:rsidRPr="00000000">
        <w:rPr>
          <w:rtl w:val="0"/>
        </w:rPr>
        <w:t xml:space="preserve"> The team emphasized the project's primary technical differentiator: the integration of a </w:t>
      </w:r>
      <w:r w:rsidDel="00000000" w:rsidR="00000000" w:rsidRPr="00000000">
        <w:rPr>
          <w:b w:val="1"/>
          <w:bCs w:val="1"/>
          <w:rtl w:val="0"/>
        </w:rPr>
        <w:t xml:space="preserve">Long-Wave Infrared (LWIR) sensor</w:t>
      </w:r>
      <w:r w:rsidDel="00000000" w:rsidR="00000000" w:rsidRPr="00000000">
        <w:rPr>
          <w:rtl w:val="0"/>
        </w:rPr>
        <w:t xml:space="preserve">. Unlike standard IR, LWIR detects the intrinsic thermal signatures of objects. This enables the tracking of completely inanimate or stationary targets that lack extreme active heat sources.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Approaches (Human-in-the-Loop):</w:t>
      </w:r>
      <w:r w:rsidDel="00000000" w:rsidR="00000000" w:rsidRPr="00000000">
        <w:rPr>
          <w:rtl w:val="0"/>
        </w:rPr>
        <w:t xml:space="preserve"> Exploring a controllable, human-in-the-loop guidance system was suggested. This architecture would broadcast live camera feeds back to a base station, enabling a human operator to execute required actions based on real-time visual data.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Strategic Role of GPS:</w:t>
      </w:r>
      <w:r w:rsidDel="00000000" w:rsidR="00000000" w:rsidRPr="00000000">
        <w:rPr>
          <w:rtl w:val="0"/>
        </w:rPr>
        <w:t xml:space="preserve"> The discussion covered various anti-jamming practices, confirming that in specific tactical environments, GPS must be treated strictly as a "last resort" rather than a primary navigation tool.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Refined Value Proposition &amp; Target Scenarios</w:t>
      </w:r>
      <w:r w:rsidDel="00000000" w:rsidR="00000000" w:rsidRPr="00000000">
        <w:rPr>
          <w:rtl w:val="0"/>
        </w:rPr>
        <w:t xml:space="preserve"> Based on the discussion, we will focus the project's narrative on the system's absolute necessity in the following operational contexts: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Relocation:</w:t>
      </w:r>
      <w:r w:rsidDel="00000000" w:rsidR="00000000" w:rsidRPr="00000000">
        <w:rPr>
          <w:rtl w:val="0"/>
        </w:rPr>
        <w:t xml:space="preserve"> Highly effective when jammers are inactive, but the target has physically relocated from its initial recorded coordinates.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Intermittent Jamming:</w:t>
      </w:r>
      <w:r w:rsidDel="00000000" w:rsidR="00000000" w:rsidRPr="00000000">
        <w:rPr>
          <w:rtl w:val="0"/>
        </w:rPr>
        <w:t xml:space="preserve"> Crucial for sustained operations in remote environments where adversarial GPS jammers unpredictably toggle on and off.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Last-Minute Jamming:</w:t>
      </w:r>
      <w:r w:rsidDel="00000000" w:rsidR="00000000" w:rsidRPr="00000000">
        <w:rPr>
          <w:rtl w:val="0"/>
        </w:rPr>
        <w:t xml:space="preserve"> Serves as a critical, autonomous fail-safe when jammers are deployed at the final stages of an operation.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Redundancy:</w:t>
      </w:r>
      <w:r w:rsidDel="00000000" w:rsidR="00000000" w:rsidRPr="00000000">
        <w:rPr>
          <w:rtl w:val="0"/>
        </w:rPr>
        <w:t xml:space="preserve"> Functions as a highly reliable "second pair of eyes" to validate, support, or override primary navigation and tracking systems.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Action Items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Benchmarking:</w:t>
      </w:r>
      <w:r w:rsidDel="00000000" w:rsidR="00000000" w:rsidRPr="00000000">
        <w:rPr>
          <w:rtl w:val="0"/>
        </w:rPr>
        <w:t xml:space="preserve"> Gather and document explicit reference times for the image processing pipeline to empirically prove system viability and define maximum latency limits. </w:t>
      </w:r>
      <w:r w:rsidDel="00000000" w:rsidR="00000000" w:rsidRPr="00000000">
        <w:rPr>
          <w:i w:val="1"/>
          <w:iCs w:val="1"/>
          <w:rtl w:val="0"/>
        </w:rPr>
        <w:t xml:space="preserve">(Assignees: Tushar &amp; Akhil)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Presentation Resilience:</w:t>
      </w:r>
      <w:r w:rsidDel="00000000" w:rsidR="00000000" w:rsidRPr="00000000">
        <w:rPr>
          <w:rtl w:val="0"/>
        </w:rPr>
        <w:t xml:space="preserve"> Create dedicated backup slides that specifically address the refined target scenarios (e.g., last-minute jamming fail-safes, tracking inanimate objects via LWIR) to proactively address potential panel questions. </w:t>
      </w:r>
      <w:r w:rsidDel="00000000" w:rsidR="00000000" w:rsidRPr="00000000">
        <w:rPr>
          <w:i w:val="1"/>
          <w:iCs w:val="1"/>
          <w:rtl w:val="0"/>
        </w:rPr>
        <w:t xml:space="preserve">(Assignees: Kalrav &amp; Akansh)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