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ynthèse-du-troisième-cycle-v0.1"/>
    <w:p>
      <w:pPr>
        <w:pStyle w:val="Heading1"/>
      </w:pPr>
      <w:r>
        <w:t xml:space="preserve">Synthèse du troisième cycle v0.1</w:t>
      </w:r>
    </w:p>
    <w:bookmarkStart w:id="20" w:name="X9db60b3450e54bfffe92e00cd8451fba0fbd626"/>
    <w:p>
      <w:pPr>
        <w:pStyle w:val="Heading2"/>
      </w:pPr>
      <w:r>
        <w:t xml:space="preserve">Neutrinos, constantes oscillatoires et ancrage spectral</w:t>
      </w:r>
    </w:p>
    <w:bookmarkEnd w:id="20"/>
    <w:bookmarkStart w:id="21" w:name="fonction-de-cette-synthèse"/>
    <w:p>
      <w:pPr>
        <w:pStyle w:val="Heading2"/>
      </w:pPr>
      <w:r>
        <w:t xml:space="preserve">1. Fonction de cette synthèse</w:t>
      </w:r>
    </w:p>
    <w:p>
      <w:pPr>
        <w:pStyle w:val="FirstParagraph"/>
      </w:pPr>
      <w:r>
        <w:t xml:space="preserve">Le troisième cycle a porté sur le secteur neutrino. Il a traité quatre ensembles de grandeurs :</w:t>
      </w:r>
    </w:p>
    <w:p>
      <w:pPr>
        <w:pStyle w:val="BodyText"/>
      </w:pPr>
      <w:r>
        <w:t xml:space="preserve">[</w:t>
      </w:r>
      <w:r>
        <w:t xml:space="preserve"> </w:t>
      </w:r>
      <w:r>
        <w:t xml:space="preserve">m</w:t>
      </w:r>
      <w:r>
        <w:rPr>
          <w:vertAlign w:val="superscript"/>
        </w:rPr>
        <w:t xml:space="preserve">2_{21},</w:t>
      </w:r>
      <w:r>
        <w:rPr>
          <w:vertAlign w:val="superscript"/>
        </w:rPr>
        <w:t xml:space="preserve">m</w:t>
      </w:r>
      <w:r>
        <w:t xml:space="preserve">2_{3</w:t>
      </w:r>
      <w:r>
        <w:t xml:space="preserve">}</w:t>
      </w:r>
      <w:r>
        <w:t xml:space="preserve"> </w:t>
      </w:r>
      <w:r>
        <w:t xml:space="preserve">]</w:t>
      </w:r>
    </w:p>
    <w:p>
      <w:pPr>
        <w:pStyle w:val="BodyText"/>
      </w:pPr>
      <w:r>
        <w:t xml:space="preserve">comme différences de masses au carré,</w:t>
      </w:r>
    </w:p>
    <w:p>
      <w:pPr>
        <w:pStyle w:val="BodyText"/>
      </w:pPr>
      <w:r>
        <w:t xml:space="preserve">[</w:t>
      </w:r>
      <w:r>
        <w:t xml:space="preserve"> </w:t>
      </w:r>
      <w:r>
        <w:rPr>
          <w:i/>
          <w:iCs/>
        </w:rPr>
        <w:t xml:space="preserve">{12},</w:t>
      </w:r>
      <w:r>
        <w:t xml:space="preserve">{23},</w:t>
      </w:r>
      <w:r>
        <w:t xml:space="preserve">_{13}</w:t>
      </w:r>
      <w:r>
        <w:t xml:space="preserve"> </w:t>
      </w:r>
      <w:r>
        <w:t xml:space="preserve">]</w:t>
      </w:r>
    </w:p>
    <w:p>
      <w:pPr>
        <w:pStyle w:val="BodyText"/>
      </w:pPr>
      <w:r>
        <w:t xml:space="preserve">comme angles de mélange leptoniques,</w:t>
      </w:r>
    </w:p>
    <w:p>
      <w:pPr>
        <w:pStyle w:val="BodyText"/>
      </w:pPr>
      <w:r>
        <w:t xml:space="preserve">[</w:t>
      </w:r>
      <w:r>
        <w:t xml:space="preserve"> </w:t>
      </w:r>
      <w:r>
        <w:t xml:space="preserve">_{</w:t>
      </w:r>
      <w:r>
        <w:t xml:space="preserve">}</w:t>
      </w:r>
      <w:r>
        <w:t xml:space="preserve"> </w:t>
      </w:r>
      <w:r>
        <w:t xml:space="preserve">]</w:t>
      </w:r>
    </w:p>
    <w:p>
      <w:pPr>
        <w:pStyle w:val="BodyText"/>
      </w:pPr>
      <w:r>
        <w:t xml:space="preserve">comme phase CP oscillatoire,</w:t>
      </w:r>
    </w:p>
    <w:p>
      <w:pPr>
        <w:pStyle w:val="BodyText"/>
      </w:pPr>
      <w:r>
        <w:t xml:space="preserve">et enfin :</w:t>
      </w:r>
    </w:p>
    <w:p>
      <w:pPr>
        <w:pStyle w:val="BodyText"/>
      </w:pPr>
      <w:r>
        <w:t xml:space="preserve">[</w:t>
      </w:r>
      <w:r>
        <w:t xml:space="preserve"> </w:t>
      </w:r>
      <w:r>
        <w:t xml:space="preserve">m_</w:t>
      </w:r>
      <w:r>
        <w:t xml:space="preserve">,</w:t>
      </w:r>
      <w:r>
        <w:t xml:space="preserve">m_</w:t>
      </w:r>
      <w:r>
        <w:t xml:space="preserve">,</w:t>
      </w:r>
      <w:r>
        <w:t xml:space="preserve">m_{</w:t>
      </w:r>
      <w:r>
        <w:t xml:space="preserve">}</w:t>
      </w:r>
      <w:r>
        <w:t xml:space="preserve"> </w:t>
      </w:r>
      <w:r>
        <w:t xml:space="preserve">]</w:t>
      </w:r>
    </w:p>
    <w:p>
      <w:pPr>
        <w:pStyle w:val="BodyText"/>
      </w:pPr>
      <w:r>
        <w:t xml:space="preserve">comme trois projections de la masse absolue des neutrinos.</w:t>
      </w:r>
    </w:p>
    <w:p>
      <w:pPr>
        <w:pStyle w:val="BodyText"/>
      </w:pPr>
      <w:r>
        <w:t xml:space="preserve">Ce cycle ne se contente pas d’ajouter une nouvelle famille de particules à la cartographie. Il transforme la typologie, parce que le secteur neutrino ne donne pas d’abord des constantes comme valeurs isolées. Il donne une architecture : différences, mélanges, phases, projections effectives et bornes supérieures.</w:t>
      </w:r>
    </w:p>
    <w:p>
      <w:pPr>
        <w:pStyle w:val="BodyText"/>
      </w:pPr>
      <w:r>
        <w:t xml:space="preserve">Le point central est donc le suivant :</w:t>
      </w:r>
    </w:p>
    <w:p>
      <w:pPr>
        <w:pStyle w:val="BodyText"/>
      </w:pPr>
      <w:r>
        <w:rPr>
          <w:b/>
          <w:bCs/>
        </w:rPr>
        <w:t xml:space="preserve">les neutrinos montrent qu’une constante physique peut être une grandeur relationnelle d’oscillation plutôt qu’une valeur absolue directement mesurée.</w:t>
      </w:r>
    </w:p>
    <w:bookmarkEnd w:id="21"/>
    <w:bookmarkStart w:id="22" w:name="résultat-général-du-troisième-cycle"/>
    <w:p>
      <w:pPr>
        <w:pStyle w:val="Heading2"/>
      </w:pPr>
      <w:r>
        <w:t xml:space="preserve">2. Résultat général du troisième cycle</w:t>
      </w:r>
    </w:p>
    <w:p>
      <w:pPr>
        <w:pStyle w:val="FirstParagraph"/>
      </w:pPr>
      <w:r>
        <w:t xml:space="preserve">Le secteur neutrino introduit une forme de constance qui se manifeste par des motifs de transition.</w:t>
      </w:r>
    </w:p>
    <w:p>
      <w:pPr>
        <w:pStyle w:val="BodyText"/>
      </w:pPr>
      <w:r>
        <w:t xml:space="preserve">Les neutrinos produits par interaction faible sont des états de saveur :</w:t>
      </w:r>
    </w:p>
    <w:p>
      <w:pPr>
        <w:pStyle w:val="BodyText"/>
      </w:pPr>
      <w:r>
        <w:t xml:space="preserve">[</w:t>
      </w:r>
      <w:r>
        <w:t xml:space="preserve"> </w:t>
      </w:r>
      <w:r>
        <w:rPr>
          <w:i/>
          <w:iCs/>
        </w:rPr>
        <w:t xml:space="preserve">e,</w:t>
      </w:r>
      <w:r>
        <w:t xml:space="preserve">,</w:t>
      </w:r>
      <w:r>
        <w:t xml:space="preserve">_</w:t>
      </w:r>
      <w:r>
        <w:t xml:space="preserve"> </w:t>
      </w:r>
      <w:r>
        <w:t xml:space="preserve">]</w:t>
      </w:r>
    </w:p>
    <w:p>
      <w:pPr>
        <w:pStyle w:val="BodyText"/>
      </w:pPr>
      <w:r>
        <w:t xml:space="preserve">mais ils se propagent comme superpositions d’états de masse :</w:t>
      </w:r>
    </w:p>
    <w:p>
      <w:pPr>
        <w:pStyle w:val="BodyText"/>
      </w:pPr>
      <w:r>
        <w:t xml:space="preserve">[</w:t>
      </w:r>
      <w:r>
        <w:t xml:space="preserve"> </w:t>
      </w:r>
      <w:r>
        <w:t xml:space="preserve">_1,</w:t>
      </w:r>
      <w:r>
        <w:t xml:space="preserve">_2,</w:t>
      </w:r>
      <w:r>
        <w:t xml:space="preserve">_3</w:t>
      </w:r>
      <w:r>
        <w:t xml:space="preserve"> </w:t>
      </w:r>
      <w:r>
        <w:t xml:space="preserve">]</w:t>
      </w:r>
    </w:p>
    <w:p>
      <w:pPr>
        <w:pStyle w:val="BodyText"/>
      </w:pPr>
      <w:r>
        <w:t xml:space="preserve">Les constantes pertinentes ne sont donc pas seulement des masses. Elles décrivent la relation entre production, propagation et détection. La matrice PMNS, les différences de masses au carré et la phase CP forment une structure de passage entre ces niveaux.</w:t>
      </w:r>
    </w:p>
    <w:p>
      <w:pPr>
        <w:pStyle w:val="BodyText"/>
      </w:pPr>
      <w:r>
        <w:t xml:space="preserve">Le troisième cycle fait apparaître quatre fonctions de constance :</w:t>
      </w:r>
    </w:p>
    <w:p>
      <w:pPr>
        <w:numPr>
          <w:ilvl w:val="0"/>
          <w:numId w:val="1001"/>
        </w:numPr>
      </w:pPr>
      <w:r>
        <w:t xml:space="preserve">stabiliser un rythme de déphasage ;</w:t>
      </w:r>
    </w:p>
    <w:p>
      <w:pPr>
        <w:numPr>
          <w:ilvl w:val="0"/>
          <w:numId w:val="1001"/>
        </w:numPr>
      </w:pPr>
      <w:r>
        <w:t xml:space="preserve">stabiliser une géométrie de projection ;</w:t>
      </w:r>
    </w:p>
    <w:p>
      <w:pPr>
        <w:numPr>
          <w:ilvl w:val="0"/>
          <w:numId w:val="1001"/>
        </w:numPr>
      </w:pPr>
      <w:r>
        <w:t xml:space="preserve">stabiliser une phase d’asymétrie ;</w:t>
      </w:r>
    </w:p>
    <w:p>
      <w:pPr>
        <w:numPr>
          <w:ilvl w:val="0"/>
          <w:numId w:val="1001"/>
        </w:numPr>
      </w:pPr>
      <w:r>
        <w:t xml:space="preserve">fixer l’ancrage absolu d’un spectre dont les écarts sont déjà connus.</w:t>
      </w:r>
    </w:p>
    <w:p>
      <w:pPr>
        <w:pStyle w:val="FirstParagraph"/>
      </w:pPr>
      <w:r>
        <w:t xml:space="preserve">Ce sont des fonctions distinctes. Les confondre reviendrait à écraser toute la richesse du secteur neutrino.</w:t>
      </w:r>
    </w:p>
    <w:bookmarkEnd w:id="22"/>
    <w:bookmarkStart w:id="23" w:name="m2-constantes-de-phase-oscillatoire"/>
    <w:p>
      <w:pPr>
        <w:pStyle w:val="Heading2"/>
      </w:pPr>
      <w:r>
        <w:t xml:space="preserve">3. (</w:t>
      </w:r>
      <w:r>
        <w:t xml:space="preserve">m^2) : constantes de phase oscillatoire</w:t>
      </w:r>
    </w:p>
    <w:p>
      <w:pPr>
        <w:pStyle w:val="FirstParagraph"/>
      </w:pPr>
      <w:r>
        <w:t xml:space="preserve">Les différences de masses au carré sont définies par :</w:t>
      </w:r>
    </w:p>
    <w:p>
      <w:pPr>
        <w:pStyle w:val="BodyText"/>
      </w:pPr>
      <w:r>
        <w:t xml:space="preserve">[</w:t>
      </w:r>
      <w:r>
        <w:t xml:space="preserve"> </w:t>
      </w:r>
      <w:r>
        <w:t xml:space="preserve">m</w:t>
      </w:r>
      <w:r>
        <w:rPr>
          <w:vertAlign w:val="superscript"/>
        </w:rPr>
        <w:t xml:space="preserve">2_{ij}=m_i</w:t>
      </w:r>
      <w:r>
        <w:t xml:space="preserve">2-m_j^2</w:t>
      </w:r>
      <w:r>
        <w:t xml:space="preserve"> </w:t>
      </w:r>
      <w:r>
        <w:t xml:space="preserve">]</w:t>
      </w:r>
    </w:p>
    <w:p>
      <w:pPr>
        <w:pStyle w:val="BodyText"/>
      </w:pPr>
      <w:r>
        <w:t xml:space="preserve">Elles ne donnent pas les masses absolues. Elles donnent les écarts qui produisent les phases relatives pendant la propagation.</w:t>
      </w:r>
    </w:p>
    <w:p>
      <w:pPr>
        <w:pStyle w:val="BodyText"/>
      </w:pPr>
      <w:r>
        <w:t xml:space="preserve">Dans une approximation à deux saveurs, la probabilité d’oscillation contient un terme du type :</w:t>
      </w:r>
    </w:p>
    <w:p>
      <w:pPr>
        <w:pStyle w:val="BodyText"/>
      </w:pPr>
      <w:r>
        <w:t xml:space="preserve">[</w:t>
      </w:r>
      <w:r>
        <w:t xml:space="preserve"> </w:t>
      </w:r>
      <w:r>
        <w:t xml:space="preserve">^2</w:t>
      </w:r>
      <w:r>
        <w:t xml:space="preserve">(</w:t>
      </w:r>
      <w:r>
        <w:t xml:space="preserve">)</w:t>
      </w:r>
      <w:r>
        <w:t xml:space="preserve"> </w:t>
      </w:r>
      <w:r>
        <w:t xml:space="preserve">]</w:t>
      </w:r>
    </w:p>
    <w:p>
      <w:pPr>
        <w:pStyle w:val="BodyText"/>
      </w:pPr>
      <w:r>
        <w:t xml:space="preserve">La grandeur (</w:t>
      </w:r>
      <w:r>
        <w:t xml:space="preserve">m^2) devient donc observable dans une phase sans dimension. Sa constance se manifeste comme stabilité d’un rythme d’oscillation en fonction de (L/E).</w:t>
      </w:r>
    </w:p>
    <w:p>
      <w:pPr>
        <w:pStyle w:val="BodyText"/>
      </w:pPr>
      <w:r>
        <w:t xml:space="preserve">NuFIT 6.0 indique que (</w:t>
      </w:r>
      <w:r>
        <w:t xml:space="preserve">m^2_{21}) et (|</w:t>
      </w:r>
      <w:r>
        <w:t xml:space="preserve">m^2_{3</w:t>
      </w:r>
      <w:r>
        <w:t xml:space="preserve">}|) sont bien déterminés, avec une précision relative à (3</w:t>
      </w:r>
      <w:r>
        <w:t xml:space="preserve">) d’environ 15 % et 6 % respectivement. Le même travail souligne que l’ordre des masses reste moins stabilisé, avec des tensions entre jeux de données malgré une certaine sensibilité actuelle.</w:t>
      </w:r>
    </w:p>
    <w:p>
      <w:pPr>
        <w:pStyle w:val="BodyText"/>
      </w:pPr>
      <w:r>
        <w:t xml:space="preserve">Catégorie proposée :</w:t>
      </w:r>
    </w:p>
    <w:p>
      <w:pPr>
        <w:pStyle w:val="BodyText"/>
      </w:pPr>
      <w:r>
        <w:rPr>
          <w:b/>
          <w:bCs/>
        </w:rPr>
        <w:t xml:space="preserve">constantes de phase oscillatoire.</w:t>
      </w:r>
    </w:p>
    <w:p>
      <w:pPr>
        <w:pStyle w:val="BodyText"/>
      </w:pPr>
      <w:r>
        <w:t xml:space="preserve">Définition provisoire : grandeurs différentielles qui stabilisent les rythmes de déphasage entre états de masse dans un régime de propagation cohérente.</w:t>
      </w:r>
    </w:p>
    <w:bookmarkEnd w:id="23"/>
    <w:bookmarkStart w:id="24" w:name="X78eb5cda014da6983f7bf7f98e9b3ca8facd809"/>
    <w:p>
      <w:pPr>
        <w:pStyle w:val="Heading2"/>
      </w:pPr>
      <w:r>
        <w:t xml:space="preserve">4. Angles PMNS : constantes de projection oscillatoire</w:t>
      </w:r>
    </w:p>
    <w:p>
      <w:pPr>
        <w:pStyle w:val="FirstParagraph"/>
      </w:pPr>
      <w:r>
        <w:t xml:space="preserve">Les angles :</w:t>
      </w:r>
    </w:p>
    <w:p>
      <w:pPr>
        <w:pStyle w:val="BodyText"/>
      </w:pPr>
      <w:r>
        <w:t xml:space="preserve">[</w:t>
      </w:r>
      <w:r>
        <w:t xml:space="preserve"> </w:t>
      </w:r>
      <w:r>
        <w:rPr>
          <w:i/>
          <w:iCs/>
        </w:rPr>
        <w:t xml:space="preserve">{12},</w:t>
      </w:r>
      <w:r>
        <w:t xml:space="preserve">{23},</w:t>
      </w:r>
      <w:r>
        <w:t xml:space="preserve">_{13}</w:t>
      </w:r>
      <w:r>
        <w:t xml:space="preserve"> </w:t>
      </w:r>
      <w:r>
        <w:t xml:space="preserve">]</w:t>
      </w:r>
    </w:p>
    <w:p>
      <w:pPr>
        <w:pStyle w:val="BodyText"/>
      </w:pPr>
      <w:r>
        <w:t xml:space="preserve">paramètrent la matrice PMNS. Ils ne fixent pas les rythmes d’oscillation. Ils fixent la manière dont les états de saveur se projettent sur les états de masse.</w:t>
      </w:r>
    </w:p>
    <w:p>
      <w:pPr>
        <w:pStyle w:val="BodyText"/>
      </w:pPr>
      <w:r>
        <w:t xml:space="preserve">La fonction de ces angles est donc géométrique au sens quantique : ils déterminent la structure de composition des états.</w:t>
      </w:r>
    </w:p>
    <w:p>
      <w:pPr>
        <w:pStyle w:val="BodyText"/>
      </w:pPr>
      <w:r>
        <w:t xml:space="preserve">[</w:t>
      </w:r>
      <w:r>
        <w:t xml:space="preserve"> </w:t>
      </w:r>
      <w:r>
        <w:t xml:space="preserve">_{12}</w:t>
      </w:r>
      <w:r>
        <w:t xml:space="preserve"> </w:t>
      </w:r>
      <w:r>
        <w:t xml:space="preserve">]</w:t>
      </w:r>
    </w:p>
    <w:p>
      <w:pPr>
        <w:pStyle w:val="BodyText"/>
      </w:pPr>
      <w:r>
        <w:t xml:space="preserve">est principalement associé au secteur solaire.</w:t>
      </w:r>
    </w:p>
    <w:p>
      <w:pPr>
        <w:pStyle w:val="BodyText"/>
      </w:pPr>
      <w:r>
        <w:t xml:space="preserve">[</w:t>
      </w:r>
      <w:r>
        <w:t xml:space="preserve"> </w:t>
      </w:r>
      <w:r>
        <w:t xml:space="preserve">_{23}</w:t>
      </w:r>
      <w:r>
        <w:t xml:space="preserve"> </w:t>
      </w:r>
      <w:r>
        <w:t xml:space="preserve">]</w:t>
      </w:r>
    </w:p>
    <w:p>
      <w:pPr>
        <w:pStyle w:val="BodyText"/>
      </w:pPr>
      <w:r>
        <w:t xml:space="preserve">est associé au secteur atmosphérique et reste marqué par l’ambiguïté d’octant.</w:t>
      </w:r>
    </w:p>
    <w:p>
      <w:pPr>
        <w:pStyle w:val="BodyText"/>
      </w:pPr>
      <w:r>
        <w:t xml:space="preserve">[</w:t>
      </w:r>
      <w:r>
        <w:t xml:space="preserve"> </w:t>
      </w:r>
      <w:r>
        <w:t xml:space="preserve">_{13}</w:t>
      </w:r>
      <w:r>
        <w:t xml:space="preserve"> </w:t>
      </w:r>
      <w:r>
        <w:t xml:space="preserve">]</w:t>
      </w:r>
    </w:p>
    <w:p>
      <w:pPr>
        <w:pStyle w:val="BodyText"/>
      </w:pPr>
      <w:r>
        <w:t xml:space="preserve">est petit mais non nul, ce qui rend possible l’accès expérimental à la phase (</w:t>
      </w:r>
      <w:r>
        <w:t xml:space="preserve">_{</w:t>
      </w:r>
      <w:r>
        <w:t xml:space="preserve">}).</w:t>
      </w:r>
    </w:p>
    <w:p>
      <w:pPr>
        <w:pStyle w:val="BodyText"/>
      </w:pPr>
      <w:r>
        <w:t xml:space="preserve">NuFIT 6.0 indique que (</w:t>
      </w:r>
      <w:r>
        <w:rPr>
          <w:i/>
          <w:iCs/>
        </w:rPr>
        <w:t xml:space="preserve">{12}) et (</w:t>
      </w:r>
      <w:r>
        <w:t xml:space="preserve">{13}) sont bien déterminés, tandis que (</w:t>
      </w:r>
      <w:r>
        <w:t xml:space="preserve">_{23}) reste affecté par l’ambiguïté d’octant, sans indication claire et stable quant à sa position par rapport à (45^</w:t>
      </w:r>
      <w:r>
        <w:t xml:space="preserve">).</w:t>
      </w:r>
    </w:p>
    <w:p>
      <w:pPr>
        <w:pStyle w:val="BodyText"/>
      </w:pPr>
      <w:r>
        <w:t xml:space="preserve">Catégorie proposée :</w:t>
      </w:r>
    </w:p>
    <w:p>
      <w:pPr>
        <w:pStyle w:val="BodyText"/>
      </w:pPr>
      <w:r>
        <w:rPr>
          <w:b/>
          <w:bCs/>
        </w:rPr>
        <w:t xml:space="preserve">constantes de projection oscillatoire.</w:t>
      </w:r>
    </w:p>
    <w:p>
      <w:pPr>
        <w:pStyle w:val="BodyText"/>
      </w:pPr>
      <w:r>
        <w:t xml:space="preserve">Définition provisoire : paramètres sans dimension qui stabilisent la relation de projection entre base de saveur et base de masse.</w:t>
      </w:r>
    </w:p>
    <w:bookmarkEnd w:id="24"/>
    <w:bookmarkStart w:id="25" w:name="X3162edd46eb92858bb98e6f0032ac580bfa7e0d"/>
    <w:p>
      <w:pPr>
        <w:pStyle w:val="Heading2"/>
      </w:pPr>
      <w:r>
        <w:t xml:space="preserve">5. (</w:t>
      </w:r>
      <w:r>
        <w:t xml:space="preserve">_{</w:t>
      </w:r>
      <w:r>
        <w:t xml:space="preserve">}) : constante de phase d’asymétrie oscillatoire</w:t>
      </w:r>
    </w:p>
    <w:p>
      <w:pPr>
        <w:pStyle w:val="FirstParagraph"/>
      </w:pPr>
      <w:r>
        <w:t xml:space="preserve">La phase :</w:t>
      </w:r>
    </w:p>
    <w:p>
      <w:pPr>
        <w:pStyle w:val="BodyText"/>
      </w:pPr>
      <w:r>
        <w:t xml:space="preserve">[</w:t>
      </w:r>
      <w:r>
        <w:t xml:space="preserve"> </w:t>
      </w:r>
      <w:r>
        <w:t xml:space="preserve">_{</w:t>
      </w:r>
      <w:r>
        <w:t xml:space="preserve">}</w:t>
      </w:r>
      <w:r>
        <w:t xml:space="preserve"> </w:t>
      </w:r>
      <w:r>
        <w:t xml:space="preserve">]</w:t>
      </w:r>
    </w:p>
    <w:p>
      <w:pPr>
        <w:pStyle w:val="BodyText"/>
      </w:pPr>
      <w:r>
        <w:t xml:space="preserve">est une phase complexe de type Dirac dans la matrice PMNS. Elle est liée à une possible différence entre oscillations de neutrinos et d’antineutrinos.</w:t>
      </w:r>
    </w:p>
    <w:p>
      <w:pPr>
        <w:pStyle w:val="BodyText"/>
      </w:pPr>
      <w:r>
        <w:t xml:space="preserve">Elle ne fixe ni une masse, ni une fréquence, ni une amplitude simple. Elle fixe une orientation complexe susceptible de produire une asymétrie CP dans les canaux sensibles.</w:t>
      </w:r>
    </w:p>
    <w:p>
      <w:pPr>
        <w:pStyle w:val="BodyText"/>
      </w:pPr>
      <w:r>
        <w:t xml:space="preserve">Les valeurs :</w:t>
      </w:r>
    </w:p>
    <w:p>
      <w:pPr>
        <w:pStyle w:val="BodyText"/>
      </w:pPr>
      <w:r>
        <w:t xml:space="preserve">[</w:t>
      </w:r>
      <w:r>
        <w:t xml:space="preserve"> </w:t>
      </w:r>
      <w:r>
        <w:t xml:space="preserve">0,</w:t>
      </w:r>
      <w:r>
        <w:t xml:space="preserve"> </w:t>
      </w:r>
      <w:r>
        <w:t xml:space="preserve">]</w:t>
      </w:r>
    </w:p>
    <w:p>
      <w:pPr>
        <w:pStyle w:val="BodyText"/>
      </w:pPr>
      <w:r>
        <w:t xml:space="preserve">sont CP-conservatrices. Les valeurs proches de :</w:t>
      </w:r>
    </w:p>
    <w:p>
      <w:pPr>
        <w:pStyle w:val="BodyText"/>
      </w:pPr>
      <w:r>
        <w:t xml:space="preserve">[</w:t>
      </w:r>
      <w:r>
        <w:t xml:space="preserve"> </w:t>
      </w:r>
      <w:r>
        <w:t xml:space="preserve">,</w:t>
      </w:r>
      <w:r>
        <w:t xml:space="preserve"> </w:t>
      </w:r>
      <w:r>
        <w:t xml:space="preserve">]</w:t>
      </w:r>
    </w:p>
    <w:p>
      <w:pPr>
        <w:pStyle w:val="BodyText"/>
      </w:pPr>
      <w:r>
        <w:t xml:space="preserve">correspondent à une violation CP maximale au sens de (</w:t>
      </w:r>
      <w:r>
        <w:t xml:space="preserve">_{</w:t>
      </w:r>
      <w:r>
        <w:t xml:space="preserve">}).</w:t>
      </w:r>
    </w:p>
    <w:p>
      <w:pPr>
        <w:pStyle w:val="BodyText"/>
      </w:pPr>
      <w:r>
        <w:t xml:space="preserve">Le statut expérimental de cette phase reste moins stabilisé. NuFIT 6.0 indique que, pour l’ordre normal, le fit global reste compatible avec la conservation CP à (1</w:t>
      </w:r>
      <w:r>
        <w:t xml:space="preserve">), tandis que pour l’ordre inversé, des valeurs autour de (270^</w:t>
      </w:r>
      <w:r>
        <w:t xml:space="preserve">) sont favorisées contre la conservation CP à plus de (3{,}6</w:t>
      </w:r>
      <w:r>
        <w:t xml:space="preserve">).</w:t>
      </w:r>
    </w:p>
    <w:p>
      <w:pPr>
        <w:pStyle w:val="BodyText"/>
      </w:pPr>
      <w:r>
        <w:t xml:space="preserve">Catégorie proposée :</w:t>
      </w:r>
    </w:p>
    <w:p>
      <w:pPr>
        <w:pStyle w:val="BodyText"/>
      </w:pPr>
      <w:r>
        <w:rPr>
          <w:b/>
          <w:bCs/>
        </w:rPr>
        <w:t xml:space="preserve">constante de phase d’asymétrie oscillatoire.</w:t>
      </w:r>
    </w:p>
    <w:p>
      <w:pPr>
        <w:pStyle w:val="BodyText"/>
      </w:pPr>
      <w:r>
        <w:t xml:space="preserve">Définition provisoire : phase sans dimension qui stabilise une orientation complexe dans la matrice de mélange, susceptible de produire une différence observable entre processus CP-conjugués.</w:t>
      </w:r>
    </w:p>
    <w:p>
      <w:pPr>
        <w:pStyle w:val="BodyText"/>
      </w:pPr>
      <w:r>
        <w:t xml:space="preserve">Cette catégorie doit être marquée comme partiellement stabilisée. La phase appartient clairement à l’architecture théorique du régime oscillatoire, mais sa valeur expérimentale n’a pas encore le même degré de maturité que (</w:t>
      </w:r>
      <w:r>
        <w:t xml:space="preserve">m^2_{21}), (|</w:t>
      </w:r>
      <w:r>
        <w:t xml:space="preserve">m^2_{3</w:t>
      </w:r>
      <w:r>
        <w:t xml:space="preserve">}|), (</w:t>
      </w:r>
      <w:r>
        <w:rPr>
          <w:i/>
          <w:iCs/>
        </w:rPr>
        <w:t xml:space="preserve">{12}) ou (</w:t>
      </w:r>
      <w:r>
        <w:t xml:space="preserve">{13}).</w:t>
      </w:r>
    </w:p>
    <w:bookmarkEnd w:id="25"/>
    <w:bookmarkStart w:id="26" w:name="X0f7dc6f1d26071fe3ca58a1f14ababd61850775"/>
    <w:p>
      <w:pPr>
        <w:pStyle w:val="Heading2"/>
      </w:pPr>
      <w:r>
        <w:t xml:space="preserve">6. Masse absolue : constante de seuil spectral</w:t>
      </w:r>
    </w:p>
    <w:p>
      <w:pPr>
        <w:pStyle w:val="FirstParagraph"/>
      </w:pPr>
      <w:r>
        <w:t xml:space="preserve">La masse absolue des neutrinos ne se réduit pas à une seule observable.</w:t>
      </w:r>
    </w:p>
    <w:p>
      <w:pPr>
        <w:pStyle w:val="BodyText"/>
      </w:pPr>
      <w:r>
        <w:t xml:space="preserve">Les oscillations démontrent que les neutrinos ont des masses non nulles, mais elles ne mesurent pas directement :</w:t>
      </w:r>
    </w:p>
    <w:p>
      <w:pPr>
        <w:pStyle w:val="BodyText"/>
      </w:pPr>
      <w:r>
        <w:t xml:space="preserve">[</w:t>
      </w:r>
      <w:r>
        <w:t xml:space="preserve"> </w:t>
      </w:r>
      <w:r>
        <w:t xml:space="preserve">m_1,</w:t>
      </w:r>
      <w:r>
        <w:t xml:space="preserve">m_2,</w:t>
      </w:r>
      <w:r>
        <w:t xml:space="preserve">m_3</w:t>
      </w:r>
      <w:r>
        <w:t xml:space="preserve"> </w:t>
      </w:r>
      <w:r>
        <w:t xml:space="preserve">]</w:t>
      </w:r>
    </w:p>
    <w:p>
      <w:pPr>
        <w:pStyle w:val="BodyText"/>
      </w:pPr>
      <w:r>
        <w:t xml:space="preserve">Elles mesurent les écarts. L’ancrage absolu du spectre doit être contraint par d’autres voies.</w:t>
      </w:r>
    </w:p>
    <w:p>
      <w:pPr>
        <w:pStyle w:val="BodyText"/>
      </w:pPr>
      <w:r>
        <w:t xml:space="preserve">La première voie est cinématique :</w:t>
      </w:r>
    </w:p>
    <w:p>
      <w:pPr>
        <w:pStyle w:val="BodyText"/>
      </w:pPr>
      <w:r>
        <w:t xml:space="preserve">[</w:t>
      </w:r>
      <w:r>
        <w:t xml:space="preserve"> </w:t>
      </w:r>
      <w:r>
        <w:t xml:space="preserve">m_</w:t>
      </w:r>
      <w:r>
        <w:rPr>
          <w:vertAlign w:val="superscript"/>
        </w:rPr>
        <w:t xml:space="preserve">2=</w:t>
      </w:r>
      <w:r>
        <w:rPr>
          <w:i/>
          <w:iCs/>
          <w:vertAlign w:val="superscript"/>
        </w:rPr>
        <w:t xml:space="preserve">i |U</w:t>
      </w:r>
      <w:r>
        <w:rPr>
          <w:vertAlign w:val="superscript"/>
        </w:rPr>
        <w:t xml:space="preserve">{ei}|</w:t>
      </w:r>
      <w:r>
        <w:t xml:space="preserve">2m_i^2</w:t>
      </w:r>
      <w:r>
        <w:t xml:space="preserve"> </w:t>
      </w:r>
      <w:r>
        <w:t xml:space="preserve">]</w:t>
      </w:r>
    </w:p>
    <w:p>
      <w:pPr>
        <w:pStyle w:val="BodyText"/>
      </w:pPr>
      <w:r>
        <w:t xml:space="preserve">KATRIN donne actuellement une borne directe :</w:t>
      </w:r>
    </w:p>
    <w:p>
      <w:pPr>
        <w:pStyle w:val="BodyText"/>
      </w:pPr>
      <w:r>
        <w:t xml:space="preserve">[</w:t>
      </w:r>
      <w:r>
        <w:t xml:space="preserve"> </w:t>
      </w:r>
      <w:r>
        <w:t xml:space="preserve">m_</w:t>
      </w:r>
      <w:r>
        <w:t xml:space="preserve">&lt;0{,}45 </w:t>
      </w:r>
      <w:r>
        <w:t xml:space="preserve"> </w:t>
      </w:r>
      <w:r>
        <w:t xml:space="preserve">]</w:t>
      </w:r>
    </w:p>
    <w:p>
      <w:pPr>
        <w:pStyle w:val="BodyText"/>
      </w:pPr>
      <w:r>
        <w:t xml:space="preserve">à 90 % de niveau de confiance, à partir de 259 jours de données et 36 millions d’électrons collectés. Le meilleur ajustement de (m_</w:t>
      </w:r>
      <w:r>
        <w:t xml:space="preserve">^2) est compatible avec zéro ; il s’agit donc d’une borne supérieure, pas d’une détection positive.</w:t>
      </w:r>
    </w:p>
    <w:p>
      <w:pPr>
        <w:pStyle w:val="BodyText"/>
      </w:pPr>
      <w:r>
        <w:t xml:space="preserve">La deuxième voie est cosmologique :</w:t>
      </w:r>
    </w:p>
    <w:p>
      <w:pPr>
        <w:pStyle w:val="BodyText"/>
      </w:pPr>
      <w:r>
        <w:t xml:space="preserve">[</w:t>
      </w:r>
      <w:r>
        <w:t xml:space="preserve"> </w:t>
      </w:r>
      <w:r>
        <w:t xml:space="preserve">m_</w:t>
      </w:r>
      <w:r>
        <w:t xml:space="preserve">=m_1+m_2+m_3</w:t>
      </w:r>
      <w:r>
        <w:t xml:space="preserve"> </w:t>
      </w:r>
      <w:r>
        <w:t xml:space="preserve">]</w:t>
      </w:r>
    </w:p>
    <w:p>
      <w:pPr>
        <w:pStyle w:val="BodyText"/>
      </w:pPr>
      <w:r>
        <w:t xml:space="preserve">Dans le cadre (</w:t>
      </w:r>
      <w:r>
        <w:t xml:space="preserve">)CDM minimal combinant Planck 2018 et BAO, la contrainte donnée est :</w:t>
      </w:r>
    </w:p>
    <w:p>
      <w:pPr>
        <w:pStyle w:val="BodyText"/>
      </w:pPr>
      <w:r>
        <w:t xml:space="preserve">[</w:t>
      </w:r>
      <w:r>
        <w:t xml:space="preserve"> </w:t>
      </w:r>
      <w:r>
        <w:t xml:space="preserve">m_</w:t>
      </w:r>
      <w:r>
        <w:t xml:space="preserve">&lt;0{,}12 </w:t>
      </w:r>
      <w:r>
        <w:t xml:space="preserve"> </w:t>
      </w:r>
      <w:r>
        <w:t xml:space="preserve">]</w:t>
      </w:r>
    </w:p>
    <w:p>
      <w:pPr>
        <w:pStyle w:val="BodyText"/>
      </w:pPr>
      <w:r>
        <w:t xml:space="preserve">à 95 % de niveau de confiance. Cette borne est puissante, mais dépendante du modèle cosmologique adopté.</w:t>
      </w:r>
    </w:p>
    <w:p>
      <w:pPr>
        <w:pStyle w:val="BodyText"/>
      </w:pPr>
      <w:r>
        <w:t xml:space="preserve">La troisième voie est la double désintégration bêta sans neutrino :</w:t>
      </w:r>
    </w:p>
    <w:p>
      <w:pPr>
        <w:pStyle w:val="BodyText"/>
      </w:pPr>
      <w:r>
        <w:t xml:space="preserve">[</w:t>
      </w:r>
      <w:r>
        <w:t xml:space="preserve"> </w:t>
      </w:r>
      <w:r>
        <w:t xml:space="preserve">m_{</w:t>
      </w:r>
      <w:r>
        <w:t xml:space="preserve">}=</w:t>
      </w:r>
      <w:r>
        <w:t xml:space="preserve"> </w:t>
      </w:r>
      <w:r>
        <w:t xml:space="preserve">|</w:t>
      </w:r>
      <w:r>
        <w:t xml:space="preserve"> </w:t>
      </w:r>
      <w:r>
        <w:rPr>
          <w:i/>
          <w:iCs/>
        </w:rPr>
        <w:t xml:space="preserve">i U</w:t>
      </w:r>
      <w:r>
        <w:t xml:space="preserve">{ei}^2m_i</w:t>
      </w:r>
      <w:r>
        <w:t xml:space="preserve"> </w:t>
      </w:r>
      <w:r>
        <w:t xml:space="preserve">|</w:t>
      </w:r>
      <w:r>
        <w:t xml:space="preserve"> </w:t>
      </w:r>
      <w:r>
        <w:t xml:space="preserve">]</w:t>
      </w:r>
    </w:p>
    <w:p>
      <w:pPr>
        <w:pStyle w:val="BodyText"/>
      </w:pPr>
      <w:r>
        <w:t xml:space="preserve">Cette grandeur n’est pertinente que dans le cadre d’une masse de Majorana et dépend des phases de Majorana ainsi que des éléments de matrice nucléaire.</w:t>
      </w:r>
    </w:p>
    <w:p>
      <w:pPr>
        <w:pStyle w:val="BodyText"/>
      </w:pPr>
      <w:r>
        <w:t xml:space="preserve">La masse absolue introduit donc une catégorie particulière :</w:t>
      </w:r>
    </w:p>
    <w:p>
      <w:pPr>
        <w:pStyle w:val="BodyText"/>
      </w:pPr>
      <w:r>
        <w:rPr>
          <w:b/>
          <w:bCs/>
        </w:rPr>
        <w:t xml:space="preserve">constante de seuil spectral.</w:t>
      </w:r>
    </w:p>
    <w:p>
      <w:pPr>
        <w:pStyle w:val="BodyText"/>
      </w:pPr>
      <w:r>
        <w:t xml:space="preserve">Définition provisoire : grandeur qui fixe l’ancrage absolu d’un spectre dont les écarts différentiels sont déjà mesurés.</w:t>
      </w:r>
    </w:p>
    <w:bookmarkEnd w:id="26"/>
    <w:bookmarkStart w:id="27" w:name="tableau-synthétique-du-troisième-cycle"/>
    <w:p>
      <w:pPr>
        <w:pStyle w:val="Heading2"/>
      </w:pPr>
      <w:r>
        <w:t xml:space="preserve">7. Tableau synthétique du troisième cycle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Grandeur</w:t>
            </w:r>
          </w:p>
        </w:tc>
        <w:tc>
          <w:tcPr/>
          <w:p>
            <w:pPr>
              <w:pStyle w:val="Compact"/>
            </w:pPr>
            <w:r>
              <w:t xml:space="preserve">Fonction</w:t>
            </w:r>
          </w:p>
        </w:tc>
        <w:tc>
          <w:tcPr/>
          <w:p>
            <w:pPr>
              <w:pStyle w:val="Compact"/>
            </w:pPr>
            <w:r>
              <w:t xml:space="preserve">Catégorie</w:t>
            </w:r>
          </w:p>
        </w:tc>
      </w:tr>
      <w:tr>
        <w:tc>
          <w:tcPr/>
          <w:p>
            <w:pPr>
              <w:pStyle w:val="Compact"/>
            </w:pPr>
            <w:r>
              <w:t xml:space="preserve">(</w:t>
            </w:r>
            <w:r>
              <w:t xml:space="preserve">m^2_{21}), (</w:t>
            </w:r>
            <w:r>
              <w:t xml:space="preserve">m^2_{3</w:t>
            </w:r>
            <w:r>
              <w:t xml:space="preserve">})</w:t>
            </w:r>
          </w:p>
        </w:tc>
        <w:tc>
          <w:tcPr/>
          <w:p>
            <w:pPr>
              <w:pStyle w:val="Compact"/>
            </w:pPr>
            <w:r>
              <w:t xml:space="preserve">Fixer les rythmes de déphasage</w:t>
            </w:r>
          </w:p>
        </w:tc>
        <w:tc>
          <w:tcPr/>
          <w:p>
            <w:pPr>
              <w:pStyle w:val="Compact"/>
            </w:pPr>
            <w:r>
              <w:t xml:space="preserve">Constantes de phase oscillatoire</w:t>
            </w:r>
          </w:p>
        </w:tc>
      </w:tr>
      <w:tr>
        <w:tc>
          <w:tcPr/>
          <w:p>
            <w:pPr>
              <w:pStyle w:val="Compact"/>
            </w:pPr>
            <w:r>
              <w:t xml:space="preserve">(</w:t>
            </w:r>
            <w:r>
              <w:rPr>
                <w:i/>
                <w:iCs/>
              </w:rPr>
              <w:t xml:space="preserve">{12}), (</w:t>
            </w:r>
            <w:r>
              <w:t xml:space="preserve">{23}), (</w:t>
            </w:r>
            <w:r>
              <w:t xml:space="preserve">_{13})</w:t>
            </w:r>
          </w:p>
        </w:tc>
        <w:tc>
          <w:tcPr/>
          <w:p>
            <w:pPr>
              <w:pStyle w:val="Compact"/>
            </w:pPr>
            <w:r>
              <w:t xml:space="preserve">Fixer la géométrie de projection saveur/masse</w:t>
            </w:r>
          </w:p>
        </w:tc>
        <w:tc>
          <w:tcPr/>
          <w:p>
            <w:pPr>
              <w:pStyle w:val="Compact"/>
            </w:pPr>
            <w:r>
              <w:t xml:space="preserve">Constantes de projection oscillatoire</w:t>
            </w:r>
          </w:p>
        </w:tc>
      </w:tr>
      <w:tr>
        <w:tc>
          <w:tcPr/>
          <w:p>
            <w:pPr>
              <w:pStyle w:val="Compact"/>
            </w:pPr>
            <w:r>
              <w:t xml:space="preserve">(</w:t>
            </w:r>
            <w:r>
              <w:t xml:space="preserve">_{</w:t>
            </w:r>
            <w:r>
              <w:t xml:space="preserve">})</w:t>
            </w:r>
          </w:p>
        </w:tc>
        <w:tc>
          <w:tcPr/>
          <w:p>
            <w:pPr>
              <w:pStyle w:val="Compact"/>
            </w:pPr>
            <w:r>
              <w:t xml:space="preserve">Fixer une phase d’asymétrie neutrino/antineutrino</w:t>
            </w:r>
          </w:p>
        </w:tc>
        <w:tc>
          <w:tcPr/>
          <w:p>
            <w:pPr>
              <w:pStyle w:val="Compact"/>
            </w:pPr>
            <w:r>
              <w:t xml:space="preserve">Constante de phase d’asymétrie oscillatoire</w:t>
            </w:r>
          </w:p>
        </w:tc>
      </w:tr>
      <w:tr>
        <w:tc>
          <w:tcPr/>
          <w:p>
            <w:pPr>
              <w:pStyle w:val="Compact"/>
            </w:pPr>
            <w:r>
              <w:t xml:space="preserve">(m_</w:t>
            </w:r>
            <w:r>
              <w:t xml:space="preserve">)</w:t>
            </w:r>
          </w:p>
        </w:tc>
        <w:tc>
          <w:tcPr/>
          <w:p>
            <w:pPr>
              <w:pStyle w:val="Compact"/>
            </w:pPr>
            <w:r>
              <w:t xml:space="preserve">Contraindre la masse par cinématique bêta</w:t>
            </w:r>
          </w:p>
        </w:tc>
        <w:tc>
          <w:tcPr/>
          <w:p>
            <w:pPr>
              <w:pStyle w:val="Compact"/>
            </w:pPr>
            <w:r>
              <w:t xml:space="preserve">Projection cinématique de la masse absolue</w:t>
            </w:r>
          </w:p>
        </w:tc>
      </w:tr>
      <w:tr>
        <w:tc>
          <w:tcPr/>
          <w:p>
            <w:pPr>
              <w:pStyle w:val="Compact"/>
            </w:pPr>
            <w:r>
              <w:t xml:space="preserve">(</w:t>
            </w:r>
            <w:r>
              <w:t xml:space="preserve">m_</w:t>
            </w:r>
            <w:r>
              <w:t xml:space="preserve">)</w:t>
            </w:r>
          </w:p>
        </w:tc>
        <w:tc>
          <w:tcPr/>
          <w:p>
            <w:pPr>
              <w:pStyle w:val="Compact"/>
            </w:pPr>
            <w:r>
              <w:t xml:space="preserve">Contraindre l’effet gravitationnel collectif des masses</w:t>
            </w:r>
          </w:p>
        </w:tc>
        <w:tc>
          <w:tcPr/>
          <w:p>
            <w:pPr>
              <w:pStyle w:val="Compact"/>
            </w:pPr>
            <w:r>
              <w:t xml:space="preserve">Projection cosmologique de la masse absolue</w:t>
            </w:r>
          </w:p>
        </w:tc>
      </w:tr>
      <w:tr>
        <w:tc>
          <w:tcPr/>
          <w:p>
            <w:pPr>
              <w:pStyle w:val="Compact"/>
            </w:pPr>
            <w:r>
              <w:t xml:space="preserve">(m_{</w:t>
            </w:r>
            <w:r>
              <w:t xml:space="preserve">})</w:t>
            </w:r>
          </w:p>
        </w:tc>
        <w:tc>
          <w:tcPr/>
          <w:p>
            <w:pPr>
              <w:pStyle w:val="Compact"/>
            </w:pPr>
            <w:r>
              <w:t xml:space="preserve">Tester Majorana et la cohérence des phases</w:t>
            </w:r>
          </w:p>
        </w:tc>
        <w:tc>
          <w:tcPr/>
          <w:p>
            <w:pPr>
              <w:pStyle w:val="Compact"/>
            </w:pPr>
            <w:r>
              <w:t xml:space="preserve">Projection Majorana de la masse absolue</w:t>
            </w:r>
          </w:p>
        </w:tc>
      </w:tr>
      <w:tr>
        <w:tc>
          <w:tcPr/>
          <w:p>
            <w:pPr>
              <w:pStyle w:val="Compact"/>
            </w:pPr>
            <w:r>
              <w:t xml:space="preserve">Masse absolue</w:t>
            </w:r>
          </w:p>
        </w:tc>
        <w:tc>
          <w:tcPr/>
          <w:p>
            <w:pPr>
              <w:pStyle w:val="Compact"/>
            </w:pPr>
            <w:r>
              <w:t xml:space="preserve">Fixer l’ancrage du spectre</w:t>
            </w:r>
          </w:p>
        </w:tc>
        <w:tc>
          <w:tcPr/>
          <w:p>
            <w:pPr>
              <w:pStyle w:val="Compact"/>
            </w:pPr>
            <w:r>
              <w:t xml:space="preserve">Constante de seuil spectral</w:t>
            </w:r>
          </w:p>
        </w:tc>
      </w:tr>
    </w:tbl>
    <w:bookmarkEnd w:id="27"/>
    <w:bookmarkStart w:id="28" w:name="Xeb17c1737fa3c345d0138b18529e155ec508493"/>
    <w:p>
      <w:pPr>
        <w:pStyle w:val="Heading2"/>
      </w:pPr>
      <w:r>
        <w:t xml:space="preserve">8. Ce que le troisième cycle ajoute à la taxonomie générale</w:t>
      </w:r>
    </w:p>
    <w:p>
      <w:pPr>
        <w:pStyle w:val="FirstParagraph"/>
      </w:pPr>
      <w:r>
        <w:t xml:space="preserve">Le troisième cycle ajoute trois idées majeures.</w:t>
      </w:r>
    </w:p>
    <w:p>
      <w:pPr>
        <w:pStyle w:val="BodyText"/>
      </w:pPr>
      <w:r>
        <w:t xml:space="preserve">Premièrement, il introduit la</w:t>
      </w:r>
      <w:r>
        <w:t xml:space="preserve"> </w:t>
      </w:r>
      <w:r>
        <w:rPr>
          <w:b/>
          <w:bCs/>
        </w:rPr>
        <w:t xml:space="preserve">constance différentielle</w:t>
      </w:r>
      <w:r>
        <w:t xml:space="preserve">. Une grandeur peut être stable non comme valeur absolue, mais comme différence. Les (</w:t>
      </w:r>
      <w:r>
        <w:t xml:space="preserve">m^2) sont exemplaires : ils ne fixent pas les masses, mais les écarts.</w:t>
      </w:r>
    </w:p>
    <w:p>
      <w:pPr>
        <w:pStyle w:val="BodyText"/>
      </w:pPr>
      <w:r>
        <w:t xml:space="preserve">Deuxièmement, il introduit la</w:t>
      </w:r>
      <w:r>
        <w:t xml:space="preserve"> </w:t>
      </w:r>
      <w:r>
        <w:rPr>
          <w:b/>
          <w:bCs/>
        </w:rPr>
        <w:t xml:space="preserve">constance de projection</w:t>
      </w:r>
      <w:r>
        <w:t xml:space="preserve">. Les angles PMNS ne sont pas des intensités ; ils stabilisent la géométrie relationnelle entre deux bases physiques.</w:t>
      </w:r>
    </w:p>
    <w:p>
      <w:pPr>
        <w:pStyle w:val="BodyText"/>
      </w:pPr>
      <w:r>
        <w:t xml:space="preserve">Troisièmement, il introduit la</w:t>
      </w:r>
      <w:r>
        <w:t xml:space="preserve"> </w:t>
      </w:r>
      <w:r>
        <w:rPr>
          <w:b/>
          <w:bCs/>
        </w:rPr>
        <w:t xml:space="preserve">constance incomplètement stabilisée</w:t>
      </w:r>
      <w:r>
        <w:t xml:space="preserve">. (</w:t>
      </w:r>
      <w:r>
        <w:t xml:space="preserve">_{</w:t>
      </w:r>
      <w:r>
        <w:t xml:space="preserve">}) appartient clairement à la structure du modèle oscillatoire, mais sa valeur reste en cours de détermination. La cartographie doit donc intégrer des degrés de maturité expérimentale.</w:t>
      </w:r>
    </w:p>
    <w:p>
      <w:pPr>
        <w:pStyle w:val="BodyText"/>
      </w:pPr>
      <w:r>
        <w:t xml:space="preserve">Le secteur neutrino oblige ainsi à distinguer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Cette distinction est précieuse pour l’ensemble de l’enquête.</w:t>
      </w:r>
    </w:p>
    <w:bookmarkEnd w:id="28"/>
    <w:bookmarkStart w:id="29" w:name="degrés-de-stabilisation"/>
    <w:p>
      <w:pPr>
        <w:pStyle w:val="Heading2"/>
      </w:pPr>
      <w:r>
        <w:t xml:space="preserve">9. Degrés de stabilisation</w:t>
      </w:r>
    </w:p>
    <w:p>
      <w:pPr>
        <w:pStyle w:val="FirstParagraph"/>
      </w:pPr>
      <w:r>
        <w:t xml:space="preserve">Toutes les grandeurs du secteur neutrino ne sont pas stabilisées au même niveau.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Niveau</w:t>
            </w:r>
          </w:p>
        </w:tc>
        <w:tc>
          <w:tcPr/>
          <w:p>
            <w:pPr>
              <w:pStyle w:val="Compact"/>
            </w:pPr>
            <w:r>
              <w:t xml:space="preserve">Grandeurs</w:t>
            </w:r>
          </w:p>
        </w:tc>
        <w:tc>
          <w:tcPr/>
          <w:p>
            <w:pPr>
              <w:pStyle w:val="Compact"/>
            </w:pPr>
            <w:r>
              <w:t xml:space="preserve">Statut</w:t>
            </w:r>
          </w:p>
        </w:tc>
      </w:tr>
      <w:tr>
        <w:tc>
          <w:tcPr/>
          <w:p>
            <w:pPr>
              <w:pStyle w:val="Compact"/>
            </w:pPr>
            <w:r>
              <w:t xml:space="preserve">Fortement stabilisées</w:t>
            </w:r>
          </w:p>
        </w:tc>
        <w:tc>
          <w:tcPr/>
          <w:p>
            <w:pPr>
              <w:pStyle w:val="Compact"/>
            </w:pPr>
            <w:r>
              <w:t xml:space="preserve">(</w:t>
            </w:r>
            <w:r>
              <w:t xml:space="preserve">m^2_{21}), (</w:t>
            </w:r>
          </w:p>
        </w:tc>
        <w:tc>
          <w:tcPr/>
          <w:p>
            <w:pPr>
              <w:pStyle w:val="Compact"/>
            </w:pPr>
            <w:r>
              <w:t xml:space="preserve">m^2_{3</w:t>
            </w:r>
            <w:r>
              <w:t xml:space="preserve">}</w:t>
            </w:r>
          </w:p>
        </w:tc>
      </w:tr>
      <w:tr>
        <w:tc>
          <w:tcPr/>
          <w:p>
            <w:pPr>
              <w:pStyle w:val="Compact"/>
            </w:pPr>
            <w:r>
              <w:t xml:space="preserve">Partiellement stabilisée</w:t>
            </w:r>
          </w:p>
        </w:tc>
        <w:tc>
          <w:tcPr/>
          <w:p>
            <w:pPr>
              <w:pStyle w:val="Compact"/>
            </w:pPr>
            <w:r>
              <w:t xml:space="preserve">(</w:t>
            </w:r>
            <w:r>
              <w:t xml:space="preserve">_{23})</w:t>
            </w:r>
          </w:p>
        </w:tc>
        <w:tc>
          <w:tcPr/>
          <w:p>
            <w:pPr>
              <w:pStyle w:val="Compact"/>
            </w:pPr>
            <w:r>
              <w:t xml:space="preserve">Grande, proche de (45^</w:t>
            </w:r>
            <w:r>
              <w:t xml:space="preserve">), mais octant ouvert</w:t>
            </w:r>
          </w:p>
        </w:tc>
      </w:tr>
      <w:tr>
        <w:tc>
          <w:tcPr/>
          <w:p>
            <w:pPr>
              <w:pStyle w:val="Compact"/>
            </w:pPr>
            <w:r>
              <w:t xml:space="preserve">En cours de stabilisation</w:t>
            </w:r>
          </w:p>
        </w:tc>
        <w:tc>
          <w:tcPr/>
          <w:p>
            <w:pPr>
              <w:pStyle w:val="Compact"/>
            </w:pPr>
            <w:r>
              <w:t xml:space="preserve">(</w:t>
            </w:r>
            <w:r>
              <w:t xml:space="preserve">_{</w:t>
            </w:r>
            <w:r>
              <w:t xml:space="preserve">})</w:t>
            </w:r>
          </w:p>
        </w:tc>
        <w:tc>
          <w:tcPr/>
          <w:p>
            <w:pPr>
              <w:pStyle w:val="Compact"/>
            </w:pPr>
            <w:r>
              <w:t xml:space="preserve">Forte dépendance à l’ordre des masses et aux jeux de données</w:t>
            </w:r>
          </w:p>
        </w:tc>
      </w:tr>
      <w:tr>
        <w:tc>
          <w:tcPr/>
          <w:p>
            <w:pPr>
              <w:pStyle w:val="Compact"/>
            </w:pPr>
            <w:r>
              <w:t xml:space="preserve">Bornée mais non mesurée positivement</w:t>
            </w:r>
          </w:p>
        </w:tc>
        <w:tc>
          <w:tcPr/>
          <w:p>
            <w:pPr>
              <w:pStyle w:val="Compact"/>
            </w:pPr>
            <w:r>
              <w:t xml:space="preserve">(m_</w:t>
            </w:r>
            <w:r>
              <w:t xml:space="preserve">), (</w:t>
            </w:r>
            <w:r>
              <w:t xml:space="preserve">m_</w:t>
            </w:r>
            <w:r>
              <w:t xml:space="preserve">), (m_{</w:t>
            </w:r>
            <w:r>
              <w:t xml:space="preserve">})</w:t>
            </w:r>
          </w:p>
        </w:tc>
        <w:tc>
          <w:tcPr/>
          <w:p>
            <w:pPr>
              <w:pStyle w:val="Compact"/>
            </w:pPr>
            <w:r>
              <w:t xml:space="preserve">Contraintes supérieures ou conditions théoriques</w:t>
            </w:r>
          </w:p>
        </w:tc>
      </w:tr>
      <w:tr>
        <w:tc>
          <w:tcPr/>
          <w:p>
            <w:pPr>
              <w:pStyle w:val="Compact"/>
            </w:pPr>
            <w:r>
              <w:t xml:space="preserve">Structurellement ouverte</w:t>
            </w:r>
          </w:p>
        </w:tc>
        <w:tc>
          <w:tcPr/>
          <w:p>
            <w:pPr>
              <w:pStyle w:val="Compact"/>
            </w:pPr>
            <w:r>
              <w:t xml:space="preserve">nature Dirac/Majorana, masse du plus léger neutrino</w:t>
            </w:r>
          </w:p>
        </w:tc>
        <w:tc>
          <w:tcPr/>
          <w:p>
            <w:pPr>
              <w:pStyle w:val="Compact"/>
            </w:pPr>
            <w:r>
              <w:t xml:space="preserve">Questions non tranchées</w:t>
            </w:r>
          </w:p>
        </w:tc>
      </w:tr>
    </w:tbl>
    <w:p>
      <w:pPr>
        <w:pStyle w:val="BodyText"/>
      </w:pPr>
      <w:r>
        <w:t xml:space="preserve">Cette table est importante parce qu’elle empêche de traiter toutes les constantes d’un même secteur comme également établies.</w:t>
      </w:r>
    </w:p>
    <w:bookmarkEnd w:id="29"/>
    <w:bookmarkStart w:id="30" w:name="diracmajorana-limite-du-cycle"/>
    <w:p>
      <w:pPr>
        <w:pStyle w:val="Heading2"/>
      </w:pPr>
      <w:r>
        <w:t xml:space="preserve">10. Dirac/Majorana : limite du cycle</w:t>
      </w:r>
    </w:p>
    <w:p>
      <w:pPr>
        <w:pStyle w:val="FirstParagraph"/>
      </w:pPr>
      <w:r>
        <w:t xml:space="preserve">La question Dirac/Majorana ne peut pas être dissoute dans les oscillations.</w:t>
      </w:r>
    </w:p>
    <w:p>
      <w:pPr>
        <w:pStyle w:val="BodyText"/>
      </w:pPr>
      <w:r>
        <w:t xml:space="preserve">Les oscillations prouvent que les neutrinos ont des masses non nulles et que les saveurs se mélangent. Elles ne disent pas si les neutrinos sont de Dirac ou de Majorana. Les phases de Majorana, si elles existent, ne modifient pas les probabilités d’oscillation. Elles relèvent d’autres observables, en particulier de la double désintégration bêta sans neutrino.</w:t>
      </w:r>
    </w:p>
    <w:p>
      <w:pPr>
        <w:pStyle w:val="BodyText"/>
      </w:pPr>
      <w:r>
        <w:t xml:space="preserve">Le troisième cycle doit donc maintenir une frontière nette :</w:t>
      </w:r>
    </w:p>
    <w:p>
      <w:pPr>
        <w:pStyle w:val="BodyText"/>
      </w:pPr>
      <w:r>
        <w:t xml:space="preserve">[</w:t>
      </w:r>
      <w:r>
        <w:t xml:space="preserve"> </w:t>
      </w:r>
      <w:r>
        <w:t xml:space="preserve"> </w:t>
      </w:r>
      <w:r>
        <w:t xml:space="preserve">]</w:t>
      </w:r>
    </w:p>
    <w:p>
      <w:pPr>
        <w:pStyle w:val="BodyText"/>
      </w:pPr>
      <w:r>
        <w:t xml:space="preserve">d’un côté,</w:t>
      </w:r>
    </w:p>
    <w:p>
      <w:pPr>
        <w:pStyle w:val="BodyText"/>
      </w:pPr>
      <w:r>
        <w:t xml:space="preserve">[</w:t>
      </w:r>
      <w:r>
        <w:t xml:space="preserve"> </w:t>
      </w:r>
      <w:r>
        <w:t xml:space="preserve"> </w:t>
      </w:r>
      <w:r>
        <w:t xml:space="preserve">]</w:t>
      </w:r>
    </w:p>
    <w:p>
      <w:pPr>
        <w:pStyle w:val="BodyText"/>
      </w:pPr>
      <w:r>
        <w:t xml:space="preserve">de l’autre.</w:t>
      </w:r>
    </w:p>
    <w:p>
      <w:pPr>
        <w:pStyle w:val="BodyText"/>
      </w:pPr>
      <w:r>
        <w:t xml:space="preserve">Cette frontière protège la cartographie contre une confusion fréquente : croire que les paramètres PMNS oscillatoires suffisent à régler toute la question de la masse neutrino.</w:t>
      </w:r>
    </w:p>
    <w:bookmarkEnd w:id="30"/>
    <w:bookmarkStart w:id="31" w:name="Xf984ebe6d724c3ade830d2bf3c99944ea13900f"/>
    <w:p>
      <w:pPr>
        <w:pStyle w:val="Heading2"/>
      </w:pPr>
      <w:r>
        <w:t xml:space="preserve">11. Définition enrichie après troisième cycle</w:t>
      </w:r>
    </w:p>
    <w:p>
      <w:pPr>
        <w:pStyle w:val="FirstParagraph"/>
      </w:pPr>
      <w:r>
        <w:t xml:space="preserve">Après les deux premiers cycles, une constante effective stabilisée pouvait être définie comme une grandeur dont la valeur, la relation ou la fonction devient robuste dans un régime physique déterminé.</w:t>
      </w:r>
    </w:p>
    <w:p>
      <w:pPr>
        <w:pStyle w:val="BodyText"/>
      </w:pPr>
      <w:r>
        <w:t xml:space="preserve">Le troisième cycle permet d’ajouter :</w:t>
      </w:r>
    </w:p>
    <w:p>
      <w:pPr>
        <w:pStyle w:val="BodyText"/>
      </w:pPr>
      <w:r>
        <w:rPr>
          <w:b/>
          <w:bCs/>
        </w:rPr>
        <w:t xml:space="preserve">Une constante effective stabilisée peut aussi être une grandeur différentielle, projective ou phasique, dont la robustesse apparaît dans des motifs de transition plutôt que dans une valeur absolue directement isolable.</w:t>
      </w:r>
    </w:p>
    <w:p>
      <w:pPr>
        <w:pStyle w:val="BodyText"/>
      </w:pPr>
      <w:r>
        <w:t xml:space="preserve">Cette extension est importante. Elle montre que la constance ne se limite pas aux valeurs fixes d’un lagrangien ou aux paramètres d’un modèle cosmologique. Elle peut aussi appartenir à une architecture expérimentale de propagation, d’interférence et de projection.</w:t>
      </w:r>
    </w:p>
    <w:bookmarkEnd w:id="31"/>
    <w:bookmarkStart w:id="32" w:name="formule-de-travail-après-troisième-cycle"/>
    <w:p>
      <w:pPr>
        <w:pStyle w:val="Heading2"/>
      </w:pPr>
      <w:r>
        <w:t xml:space="preserve">12. Formule de travail après troisième cycle</w:t>
      </w:r>
    </w:p>
    <w:p>
      <w:pPr>
        <w:pStyle w:val="FirstParagraph"/>
      </w:pPr>
      <w:r>
        <w:t xml:space="preserve">La formule issue du troisième cycle est la suivante :</w:t>
      </w:r>
    </w:p>
    <w:p>
      <w:pPr>
        <w:pStyle w:val="BodyText"/>
      </w:pPr>
      <w:r>
        <w:rPr>
          <w:b/>
          <w:bCs/>
        </w:rPr>
        <w:t xml:space="preserve">Dans le secteur neutrino, la constance se manifeste moins comme possession d’une valeur isolée que comme stabilité d’un motif relationnel : écarts, projections, phases et bornes spectrales.</w:t>
      </w:r>
    </w:p>
    <w:p>
      <w:pPr>
        <w:pStyle w:val="BodyText"/>
      </w:pPr>
      <w:r>
        <w:t xml:space="preserve">Cette formule enrichit la carte générale. Elle permet de penser certaines constantes comme des structures d’observabilité, et non seulement comme des nombres.</w:t>
      </w:r>
    </w:p>
    <w:bookmarkEnd w:id="32"/>
    <w:bookmarkStart w:id="33" w:name="prochaine-étape"/>
    <w:p>
      <w:pPr>
        <w:pStyle w:val="Heading2"/>
      </w:pPr>
      <w:r>
        <w:t xml:space="preserve">13. Prochaine étape</w:t>
      </w:r>
    </w:p>
    <w:p>
      <w:pPr>
        <w:pStyle w:val="FirstParagraph"/>
      </w:pPr>
      <w:r>
        <w:t xml:space="preserve">La prochaine étape logique n’est pas d’ouvrir immédiatement un quatrième cycle. Il faut d’abord intégrer le troisième cycle à la carte consolidée générale.</w:t>
      </w:r>
    </w:p>
    <w:p>
      <w:pPr>
        <w:pStyle w:val="BodyText"/>
      </w:pPr>
      <w:r>
        <w:t xml:space="preserve">Le livrable suivant devrait être :</w:t>
      </w:r>
    </w:p>
    <w:p>
      <w:pPr>
        <w:pStyle w:val="BodyText"/>
      </w:pPr>
      <w:r>
        <w:rPr>
          <w:b/>
          <w:bCs/>
        </w:rPr>
        <w:t xml:space="preserve">Carte consolidée v0.2 — Taxonomie des constantes effectives stabilisées après intégration du secteur neutrino</w:t>
      </w:r>
    </w:p>
    <w:p>
      <w:pPr>
        <w:pStyle w:val="BodyText"/>
      </w:pPr>
      <w:r>
        <w:t xml:space="preserve">Cette version devra ajouter les catégories suivantes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Elle devra aussi ajouter un axe nouveau :</w:t>
      </w:r>
    </w:p>
    <w:p>
      <w:pPr>
        <w:pStyle w:val="BodyText"/>
      </w:pPr>
      <w:r>
        <w:t xml:space="preserve">[</w:t>
      </w:r>
      <w:r>
        <w:t xml:space="preserve"> </w:t>
      </w:r>
      <w:r>
        <w:t xml:space="preserve"> </w:t>
      </w:r>
      <w:r>
        <w:t xml:space="preserve">]</w:t>
      </w:r>
    </w:p>
    <w:p>
      <w:pPr>
        <w:pStyle w:val="BodyText"/>
      </w:pPr>
      <w:r>
        <w:t xml:space="preserve">Cet axe devient indispensable après le secteur neutrino. Il permet de distinguer les grandeurs établies, les grandeurs partiellement contraintes, les grandeurs en cours de stabilisation et les grandeurs seulement bornées.</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2026-07-09T06:24:25Z</dcterms:created>
  <dcterms:modified xsi:type="dcterms:W3CDTF">2026-07-09T06:24:25Z</dcterms:modified>
</cp:coreProperties>
</file>

<file path=docProps/custom.xml><?xml version="1.0" encoding="utf-8"?>
<Properties xmlns="http://schemas.openxmlformats.org/officeDocument/2006/custom-properties" xmlns:vt="http://schemas.openxmlformats.org/officeDocument/2006/docPropsVTypes"/>
</file>