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iche-yukawa-v0.1"/>
    <w:p>
      <w:pPr>
        <w:pStyle w:val="Heading1"/>
      </w:pPr>
      <w:r>
        <w:t xml:space="preserve">Fiche Yukawa v0.1</w:t>
      </w:r>
    </w:p>
    <w:bookmarkStart w:id="20" w:name="Xec9aeb484b30d3260e49a450b972aaacc2427d8"/>
    <w:p>
      <w:pPr>
        <w:pStyle w:val="Heading2"/>
      </w:pPr>
      <w:r>
        <w:t xml:space="preserve">Couplages de Yukawa, masses fermioniques et différenciation du régime électrofaible</w:t>
      </w:r>
    </w:p>
    <w:bookmarkEnd w:id="20"/>
    <w:bookmarkStart w:id="21" w:name="identification"/>
    <w:p>
      <w:pPr>
        <w:pStyle w:val="Heading2"/>
      </w:pPr>
      <w:r>
        <w:t xml:space="preserve">1. Identification</w:t>
      </w:r>
    </w:p>
    <w:p>
      <w:pPr>
        <w:pStyle w:val="FirstParagraph"/>
      </w:pPr>
      <w:r>
        <w:t xml:space="preserve">Les couplages de Yukawa du Modèle standard désignent les interactions entre le champ de Higgs et les champs fermioniques. Ils sont généralement notés (y_f) pour un fermion donné, ou (Y_u), (Y_d), (Y_e) lorsqu’on les traite comme matrices dans l’espace des familles.</w:t>
      </w:r>
    </w:p>
    <w:p>
      <w:pPr>
        <w:pStyle w:val="BodyText"/>
      </w:pPr>
      <w:r>
        <w:t xml:space="preserve">Après la brisure électrofaible, ces couplages donnent les masses des fermions chargés selon la relation :</w:t>
      </w:r>
    </w:p>
    <w:p>
      <w:pPr>
        <w:pStyle w:val="BodyText"/>
      </w:pPr>
      <w:r>
        <w:t xml:space="preserve">[</w:t>
      </w:r>
      <w:r>
        <w:t xml:space="preserve"> </w:t>
      </w:r>
      <w:r>
        <w:t xml:space="preserve">m_f =</w:t>
      </w:r>
      <w:r>
        <w:t xml:space="preserve"> </w:t>
      </w:r>
      <w:r>
        <w:t xml:space="preserve"> </w:t>
      </w:r>
      <w:r>
        <w:t xml:space="preserve">]</w:t>
      </w:r>
    </w:p>
    <w:p>
      <w:pPr>
        <w:pStyle w:val="BodyText"/>
      </w:pPr>
      <w:r>
        <w:t xml:space="preserve">où (v) est la valeur moyenne du champ de Higgs dans le vide. Le Particle Data Group présente le secteur électrofaible avec un doublet de Higgs dont la valeur moyenne non nulle (v</w:t>
      </w:r>
      <w:r>
        <w:t xml:space="preserve"> </w:t>
      </w:r>
      <w:r>
        <w:t xml:space="preserve"> </w:t>
      </w:r>
      <w:r>
        <w:t xml:space="preserve">) brise (SU(2)_L</w:t>
      </w:r>
      <w:r>
        <w:t xml:space="preserve"> </w:t>
      </w:r>
      <w:r>
        <w:t xml:space="preserve">U(1)</w:t>
      </w:r>
      <w:r>
        <w:rPr>
          <w:i/>
          <w:iCs/>
        </w:rPr>
        <w:t xml:space="preserve">Y) vers (U(1)</w:t>
      </w:r>
      <w:r>
        <w:t xml:space="preserve">{</w:t>
      </w:r>
      <w:r>
        <w:t xml:space="preserve">}), puis introduit les masses fermioniques et les couplages du Higgs aux fermions dans le lagrangien après brisure.</w:t>
      </w:r>
    </w:p>
    <w:p>
      <w:pPr>
        <w:pStyle w:val="BodyText"/>
      </w:pPr>
      <w:r>
        <w:t xml:space="preserve">Les couplages de Yukawa sont sans dimension. Ils sont donc méthodologiquement plus robustes que les masses fermioniques exprimées en unités dimensionnées. Mais leur statut théorique est particulier : dans le Modèle standard minimal, ils sont des paramètres libres. Leur valeur est mesurée ou reconstruite à partir des masses et des interactions, mais la théorie ne fournit pas encore une explication interne de leur hiérarchie.</w:t>
      </w:r>
    </w:p>
    <w:bookmarkEnd w:id="21"/>
    <w:bookmarkStart w:id="22" w:name="statut-physique"/>
    <w:p>
      <w:pPr>
        <w:pStyle w:val="Heading2"/>
      </w:pPr>
      <w:r>
        <w:t xml:space="preserve">2. Statut physique</w:t>
      </w:r>
    </w:p>
    <w:p>
      <w:pPr>
        <w:pStyle w:val="FirstParagraph"/>
      </w:pPr>
      <w:r>
        <w:t xml:space="preserve">Les couplages de Yukawa ne sont pas des masses. Ils deviennent des masses lorsque le régime électrofaible brisé est installé. Avant la brisure, ils existent comme couplages entre champs fermioniques et champ de Higgs ; après la brisure, ils déterminent les masses effectives des fermions chargés.</w:t>
      </w:r>
    </w:p>
    <w:p>
      <w:pPr>
        <w:pStyle w:val="BodyText"/>
      </w:pPr>
      <w:r>
        <w:t xml:space="preserve">Cela donne une structure en deux temps :</w:t>
      </w:r>
    </w:p>
    <w:p>
      <w:pPr>
        <w:pStyle w:val="BodyText"/>
      </w:pPr>
      <w:r>
        <w:t xml:space="preserve">[</w:t>
      </w:r>
      <w:r>
        <w:t xml:space="preserve"> </w:t>
      </w:r>
      <w:r>
        <w:t xml:space="preserve">y_f</w:t>
      </w:r>
      <w:r>
        <w:t xml:space="preserve"> </w:t>
      </w:r>
      <w:r>
        <w:t xml:space="preserve"> </w:t>
      </w:r>
      <w:r>
        <w:t xml:space="preserve">]</w:t>
      </w:r>
    </w:p>
    <w:p>
      <w:pPr>
        <w:pStyle w:val="BodyText"/>
      </w:pPr>
      <w:r>
        <w:t xml:space="preserve">[</w:t>
      </w:r>
      <w:r>
        <w:t xml:space="preserve"> </w:t>
      </w:r>
      <w:r>
        <w:t xml:space="preserve">v</w:t>
      </w:r>
      <w:r>
        <w:t xml:space="preserve"> </w:t>
      </w:r>
      <w:r>
        <w:t xml:space="preserve"> </w:t>
      </w:r>
      <w:r>
        <w:t xml:space="preserve">]</w:t>
      </w:r>
    </w:p>
    <w:p>
      <w:pPr>
        <w:pStyle w:val="BodyText"/>
      </w:pPr>
      <w:r>
        <w:t xml:space="preserve">[</w:t>
      </w:r>
      <w:r>
        <w:t xml:space="preserve"> </w:t>
      </w:r>
      <w:r>
        <w:t xml:space="preserve">m_f =</w:t>
      </w:r>
      <w:r>
        <w:t xml:space="preserve"> </w:t>
      </w:r>
      <w:r>
        <w:t xml:space="preserve"> </w:t>
      </w:r>
      <w:r>
        <w:t xml:space="preserve"> </w:t>
      </w:r>
      <w:r>
        <w:t xml:space="preserve">]</w:t>
      </w:r>
    </w:p>
    <w:p>
      <w:pPr>
        <w:pStyle w:val="BodyText"/>
      </w:pPr>
      <w:r>
        <w:t xml:space="preserve">Le cas des Yukawa est donc plus profond que le cas (m_e). La fiche (m_e) étudiait une masse particulière. La fiche Yukawa étudie la structure qui différencie toutes les masses fermioniques chargées.</w:t>
      </w:r>
    </w:p>
    <w:p>
      <w:pPr>
        <w:pStyle w:val="BodyText"/>
      </w:pPr>
      <w:r>
        <w:t xml:space="preserve">Les Yukawa forment ainsi une famille de constantes de différenciation fermionique. Ils n’installent pas seuls le régime électrofaible, mais ils déterminent comment ce régime se distribue différemment selon les fermions.</w:t>
      </w:r>
    </w:p>
    <w:bookmarkEnd w:id="22"/>
    <w:bookmarkStart w:id="23" w:name="hiérarchie-des-yukawa"/>
    <w:p>
      <w:pPr>
        <w:pStyle w:val="Heading2"/>
      </w:pPr>
      <w:r>
        <w:t xml:space="preserve">3. Hiérarchie des Yukawa</w:t>
      </w:r>
    </w:p>
    <w:p>
      <w:pPr>
        <w:pStyle w:val="FirstParagraph"/>
      </w:pPr>
      <w:r>
        <w:t xml:space="preserve">Le trait le plus frappant des couplages de Yukawa est leur hiérarchie extrême.</w:t>
      </w:r>
    </w:p>
    <w:p>
      <w:pPr>
        <w:pStyle w:val="BodyText"/>
      </w:pPr>
      <w:r>
        <w:t xml:space="preserve">Le couplage du top est de l’ordre de l’unité :</w:t>
      </w:r>
    </w:p>
    <w:p>
      <w:pPr>
        <w:pStyle w:val="BodyText"/>
      </w:pPr>
      <w:r>
        <w:t xml:space="preserve">[</w:t>
      </w:r>
      <w:r>
        <w:t xml:space="preserve"> </w:t>
      </w:r>
      <w:r>
        <w:t xml:space="preserve">y_t</w:t>
      </w:r>
      <w:r>
        <w:t xml:space="preserve"> </w:t>
      </w:r>
      <w:r>
        <w:t xml:space="preserve">1</w:t>
      </w:r>
      <w:r>
        <w:t xml:space="preserve"> </w:t>
      </w:r>
      <w:r>
        <w:t xml:space="preserve">]</w:t>
      </w:r>
    </w:p>
    <w:p>
      <w:pPr>
        <w:pStyle w:val="BodyText"/>
      </w:pPr>
      <w:r>
        <w:t xml:space="preserve">Le couplage de l’électron est beaucoup plus faible :</w:t>
      </w:r>
    </w:p>
    <w:p>
      <w:pPr>
        <w:pStyle w:val="BodyText"/>
      </w:pPr>
      <w:r>
        <w:t xml:space="preserve">[</w:t>
      </w:r>
      <w:r>
        <w:t xml:space="preserve"> </w:t>
      </w:r>
      <w:r>
        <w:t xml:space="preserve">y_e</w:t>
      </w:r>
      <w:r>
        <w:t xml:space="preserve"> </w:t>
      </w:r>
      <w:r>
        <w:t xml:space="preserve">3</w:t>
      </w:r>
      <w:r>
        <w:t xml:space="preserve"> </w:t>
      </w:r>
      <w:r>
        <w:t xml:space="preserve">^{-6}</w:t>
      </w:r>
      <w:r>
        <w:t xml:space="preserve"> </w:t>
      </w:r>
      <w:r>
        <w:t xml:space="preserve">]</w:t>
      </w:r>
    </w:p>
    <w:p>
      <w:pPr>
        <w:pStyle w:val="BodyText"/>
      </w:pPr>
      <w:r>
        <w:t xml:space="preserve">Entre les deux, les autres fermions chargés occupent une large gamme de valeurs. Cette hiérarchie traduit le fait que les masses fermioniques du Modèle standard couvrent plusieurs ordres de grandeur.</w:t>
      </w:r>
    </w:p>
    <w:p>
      <w:pPr>
        <w:pStyle w:val="BodyText"/>
      </w:pPr>
      <w:r>
        <w:t xml:space="preserve">Cette hiérarchie est un fait central du Modèle standard. Elle est intégrée dans la théorie, mais elle n’est pas expliquée par elle. Les couplages de Yukawa sont donc des constantes d’un type particulier : ils sont fondamentaux dans le cadre du Modèle standard minimal, mais restent descriptifs du point de vue de la structure des familles.</w:t>
      </w:r>
    </w:p>
    <w:p>
      <w:pPr>
        <w:pStyle w:val="BodyText"/>
      </w:pPr>
      <w:r>
        <w:t xml:space="preserve">La question n’est pas seulement :</w:t>
      </w:r>
      <w:r>
        <w:t xml:space="preserve"> </w:t>
      </w:r>
      <w:r>
        <w:t xml:space="preserve">“quelle est la valeur de (y_f) ?”</w:t>
      </w:r>
      <w:r>
        <w:t xml:space="preserve"> </w:t>
      </w:r>
      <w:r>
        <w:t xml:space="preserve">La question devient :</w:t>
      </w:r>
    </w:p>
    <w:p>
      <w:pPr>
        <w:pStyle w:val="BodyText"/>
      </w:pPr>
      <w:r>
        <w:rPr>
          <w:b/>
          <w:bCs/>
        </w:rPr>
        <w:t xml:space="preserve">quel type de constance est porté par une famille de paramètres qui fixe la différenciation des masses sans expliquer encore sa propre structure ?</w:t>
      </w:r>
    </w:p>
    <w:bookmarkEnd w:id="23"/>
    <w:bookmarkStart w:id="24" w:name="matrices-de-yukawa-et-problème-de-saveur"/>
    <w:p>
      <w:pPr>
        <w:pStyle w:val="Heading2"/>
      </w:pPr>
      <w:r>
        <w:t xml:space="preserve">4. Matrices de Yukawa et problème de saveur</w:t>
      </w:r>
    </w:p>
    <w:p>
      <w:pPr>
        <w:pStyle w:val="FirstParagraph"/>
      </w:pPr>
      <w:r>
        <w:t xml:space="preserve">Dans la formulation complète du Modèle standard, les couplages de Yukawa ne sont pas seulement une liste de nombres indépendants. Pour les quarks et les leptons chargés, ils apparaissent sous forme de matrices. Après diagonalisation, ces matrices donnent les masses des fermions et contribuent aux matrices de mélange, notamment la matrice CKM pour les quarks.</w:t>
      </w:r>
    </w:p>
    <w:p>
      <w:pPr>
        <w:pStyle w:val="BodyText"/>
      </w:pPr>
      <w:r>
        <w:t xml:space="preserve">Le PDG rappelle que les bases d’interaction et de masse sont reliées, pour les quarks de type down, par la matrice de Cabibbo-Kobayashi-Maskawa (V_{</w:t>
      </w:r>
      <w:r>
        <w:t xml:space="preserve">}), et que la violation de CP dans le modèle électrofaible est incorporée par une phase observable dans cette matrice.</w:t>
      </w:r>
    </w:p>
    <w:p>
      <w:pPr>
        <w:pStyle w:val="BodyText"/>
      </w:pPr>
      <w:r>
        <w:t xml:space="preserve">Cela signifie que les Yukawa ne déterminent pas seulement des masses isolées. Ils participent à la structure de saveur du Modèle standard : familles, hiérarchies, mélanges, violation de CP.</w:t>
      </w:r>
    </w:p>
    <w:p>
      <w:pPr>
        <w:pStyle w:val="BodyText"/>
      </w:pPr>
      <w:r>
        <w:t xml:space="preserve">Dans notre grille, cela force une extension de vocabulaire. Les Yukawa ne sont pas seulement des constantes de masse ; ce sont des constantes de texture. Elles configurent la manière dont le régime électrofaible brisé se différencie entre fermions.</w:t>
      </w:r>
    </w:p>
    <w:bookmarkEnd w:id="24"/>
    <w:bookmarkStart w:id="25" w:name="Xee3cd1a4aaca9bace882f56565ec3c47f700eec"/>
    <w:p>
      <w:pPr>
        <w:pStyle w:val="Heading2"/>
      </w:pPr>
      <w:r>
        <w:t xml:space="preserve">5. Mesure expérimentale et couplages du Higgs</w:t>
      </w:r>
    </w:p>
    <w:p>
      <w:pPr>
        <w:pStyle w:val="FirstParagraph"/>
      </w:pPr>
      <w:r>
        <w:t xml:space="preserve">Les couplages de Yukawa sont testés expérimentalement à travers les interactions du boson de Higgs avec les fermions. Les mesures du LHC ont établi les couplages du Higgs aux fermions de troisième génération, notamment (t), (b) et (</w:t>
      </w:r>
      <w:r>
        <w:t xml:space="preserve">), avec une précision croissante. Les recherches sur les fermions de deuxième génération, comme le muon et le quark charm, sont plus difficiles parce que les couplages attendus sont beaucoup plus faibles.</w:t>
      </w:r>
    </w:p>
    <w:p>
      <w:pPr>
        <w:pStyle w:val="BodyText"/>
      </w:pPr>
      <w:r>
        <w:t xml:space="preserve">Nir et Udhayashankar soulignent en 2024 que les expériences ATLAS et CMS ont mesuré les désintégrations du Higgs en paires de (</w:t>
      </w:r>
      <w:r>
        <w:t xml:space="preserve">) et de quarks (b), ainsi que la production associée (t</w:t>
      </w:r>
      <w:r>
        <w:t xml:space="preserve">{t}h), ce qui constitue une validation expérimentale majeure des interactions de Yukawa pour la troisième génération. Ils rappellent aussi qu’il existe désormais une évidence expérimentale pour (h</w:t>
      </w:r>
      <w:r>
        <w:t xml:space="preserve"> </w:t>
      </w:r>
      <w:r>
        <w:rPr>
          <w:vertAlign w:val="superscript"/>
        </w:rPr>
        <w:t xml:space="preserve">+</w:t>
      </w:r>
      <w:r>
        <w:t xml:space="preserve">-) et des contraintes significatives sur (h</w:t>
      </w:r>
      <w:r>
        <w:t xml:space="preserve"> </w:t>
      </w:r>
      <w:r>
        <w:t xml:space="preserve">c</w:t>
      </w:r>
      <w:r>
        <w:t xml:space="preserve">{c}).</w:t>
      </w:r>
    </w:p>
    <w:p>
      <w:pPr>
        <w:pStyle w:val="BodyText"/>
      </w:pPr>
      <w:r>
        <w:t xml:space="preserve">Pour le muon, ils rapportent une valeur moyenne :</w:t>
      </w:r>
    </w:p>
    <w:p>
      <w:pPr>
        <w:pStyle w:val="BodyText"/>
      </w:pPr>
      <w:r>
        <w:t xml:space="preserve">[</w:t>
      </w:r>
      <w:r>
        <w:t xml:space="preserve"> </w:t>
      </w:r>
      <w:r>
        <w:t xml:space="preserve">_{</w:t>
      </w:r>
      <w:r>
        <w:rPr>
          <w:vertAlign w:val="superscript"/>
        </w:rPr>
        <w:t xml:space="preserve">+</w:t>
      </w:r>
      <w:r>
        <w:t xml:space="preserve">-}=1.21</w:t>
      </w:r>
      <w:r>
        <w:t xml:space="preserve"> </w:t>
      </w:r>
      <w:r>
        <w:t xml:space="preserve">]</w:t>
      </w:r>
    </w:p>
    <w:p>
      <w:pPr>
        <w:pStyle w:val="BodyText"/>
      </w:pPr>
      <w:r>
        <w:t xml:space="preserve">et une interprétation en facteur de couplage :</w:t>
      </w:r>
    </w:p>
    <w:p>
      <w:pPr>
        <w:pStyle w:val="BodyText"/>
      </w:pPr>
      <w:r>
        <w:t xml:space="preserve">[</w:t>
      </w:r>
      <w:r>
        <w:t xml:space="preserve"> </w:t>
      </w:r>
      <w:r>
        <w:t xml:space="preserve">0.92</w:t>
      </w:r>
      <w:r>
        <w:t xml:space="preserve"> </w:t>
      </w:r>
      <w:r>
        <w:t xml:space="preserve">_</w:t>
      </w:r>
      <w:r>
        <w:t xml:space="preserve"> </w:t>
      </w:r>
      <w:r>
        <w:t xml:space="preserve">]</w:t>
      </w:r>
    </w:p>
    <w:p>
      <w:pPr>
        <w:pStyle w:val="BodyText"/>
      </w:pPr>
      <w:r>
        <w:t xml:space="preserve">dans les hypothèses précisées par leur analyse.</w:t>
      </w:r>
    </w:p>
    <w:p>
      <w:pPr>
        <w:pStyle w:val="BodyText"/>
      </w:pPr>
      <w:r>
        <w:t xml:space="preserve">Cela est important pour notre enquête : les Yukawa ne sont pas seulement reconstruits abstraitement à partir des masses. Ils sont aussi testés comme couplages physiques du Higgs aux fermions.</w:t>
      </w:r>
    </w:p>
    <w:bookmarkEnd w:id="25"/>
    <w:bookmarkStart w:id="26" w:name="dépendance-au-régime-électrofaible"/>
    <w:p>
      <w:pPr>
        <w:pStyle w:val="Heading2"/>
      </w:pPr>
      <w:r>
        <w:t xml:space="preserve">6. Dépendance au régime électrofaible</w:t>
      </w:r>
    </w:p>
    <w:p>
      <w:pPr>
        <w:pStyle w:val="FirstParagraph"/>
      </w:pPr>
      <w:r>
        <w:t xml:space="preserve">Les Yukawa ont un statut double.</w:t>
      </w:r>
    </w:p>
    <w:p>
      <w:pPr>
        <w:pStyle w:val="BodyText"/>
      </w:pPr>
      <w:r>
        <w:t xml:space="preserve">Avant la brisure électrofaible, ils sont des couplages entre champs. Après la brisure, ils deviennent lisibles comme masses fermioniques. La constance des masses fermioniques basse énergie dépend donc de deux éléments :</w:t>
      </w:r>
    </w:p>
    <w:p>
      <w:pPr>
        <w:pStyle w:val="BodyText"/>
      </w:pPr>
      <w:r>
        <w:t xml:space="preserve">[</w:t>
      </w:r>
      <w:r>
        <w:t xml:space="preserve"> </w:t>
      </w:r>
      <w:r>
        <w:t xml:space="preserve">y_f</w:t>
      </w:r>
      <w:r>
        <w:t xml:space="preserve"> </w:t>
      </w:r>
      <w:r>
        <w:t xml:space="preserve">]</w:t>
      </w:r>
    </w:p>
    <w:p>
      <w:pPr>
        <w:pStyle w:val="BodyText"/>
      </w:pPr>
      <w:r>
        <w:t xml:space="preserve">et</w:t>
      </w:r>
    </w:p>
    <w:p>
      <w:pPr>
        <w:pStyle w:val="BodyText"/>
      </w:pPr>
      <w:r>
        <w:t xml:space="preserve">[</w:t>
      </w:r>
      <w:r>
        <w:t xml:space="preserve"> </w:t>
      </w:r>
      <w:r>
        <w:t xml:space="preserve">v</w:t>
      </w:r>
      <w:r>
        <w:t xml:space="preserve"> </w:t>
      </w:r>
      <w:r>
        <w:t xml:space="preserve">]</w:t>
      </w:r>
    </w:p>
    <w:p>
      <w:pPr>
        <w:pStyle w:val="BodyText"/>
      </w:pPr>
      <w:r>
        <w:t xml:space="preserve">La fiche (v) a montré que (v) fixe l’échelle générale du régime électrofaible brisé. La fiche Yukawa montre que les (y_f) distribuent cette échelle de manière différenciée entre les fermions.</w:t>
      </w:r>
    </w:p>
    <w:p>
      <w:pPr>
        <w:pStyle w:val="BodyText"/>
      </w:pPr>
      <w:r>
        <w:t xml:space="preserve">On peut donc écrire conceptuellement :</w:t>
      </w:r>
    </w:p>
    <w:p>
      <w:pPr>
        <w:pStyle w:val="BodyText"/>
      </w:pPr>
      <w:r>
        <w:t xml:space="preserve">[</w:t>
      </w:r>
      <w:r>
        <w:t xml:space="preserve"> </w:t>
      </w:r>
      <w:r>
        <w:t xml:space="preserve"> </w:t>
      </w:r>
      <w:r>
        <w:t xml:space="preserve">v</w:t>
      </w:r>
      <w:r>
        <w:t xml:space="preserve"> </w:t>
      </w:r>
      <w:r>
        <w:t xml:space="preserve">]</w:t>
      </w:r>
    </w:p>
    <w:p>
      <w:pPr>
        <w:pStyle w:val="BodyText"/>
      </w:pPr>
      <w:r>
        <w:t xml:space="preserve">[</w:t>
      </w:r>
      <w:r>
        <w:t xml:space="preserve"> </w:t>
      </w:r>
      <w:r>
        <w:t xml:space="preserve"> </w:t>
      </w:r>
      <w:r>
        <w:t xml:space="preserve">y_f</w:t>
      </w:r>
      <w:r>
        <w:t xml:space="preserve"> </w:t>
      </w:r>
      <w:r>
        <w:t xml:space="preserve">]</w:t>
      </w:r>
    </w:p>
    <w:p>
      <w:pPr>
        <w:pStyle w:val="BodyText"/>
      </w:pPr>
      <w:r>
        <w:t xml:space="preserve">[</w:t>
      </w:r>
      <w:r>
        <w:t xml:space="preserve"> </w:t>
      </w:r>
      <w:r>
        <w:t xml:space="preserve"> </w:t>
      </w:r>
      <w:r>
        <w:t xml:space="preserve">m_f</w:t>
      </w:r>
      <w:r>
        <w:t xml:space="preserve"> </w:t>
      </w:r>
      <w:r>
        <w:t xml:space="preserve">]</w:t>
      </w:r>
    </w:p>
    <w:p>
      <w:pPr>
        <w:pStyle w:val="BodyText"/>
      </w:pPr>
      <w:r>
        <w:t xml:space="preserve">Cette structure est précieuse pour la typologie. Elle distingue une constante de structuration commune, (v), et des constantes de différenciation, les (y_f).</w:t>
      </w:r>
    </w:p>
    <w:bookmarkEnd w:id="26"/>
    <w:bookmarkStart w:id="27" w:name="Xbd0a54e2117b3287f6262c0393944cb991b002a"/>
    <w:p>
      <w:pPr>
        <w:pStyle w:val="Heading2"/>
      </w:pPr>
      <w:r>
        <w:t xml:space="preserve">7. Neutrinos et limite du Modèle standard minimal</w:t>
      </w:r>
    </w:p>
    <w:p>
      <w:pPr>
        <w:pStyle w:val="FirstParagraph"/>
      </w:pPr>
      <w:r>
        <w:t xml:space="preserve">Les neutrinos imposent une limite importante au traitement. Dans le Modèle standard minimal, l’absence de champs de neutrinos droits empêche d’écrire les mêmes termes de masse de Dirac pour les neutrinos que pour les autres fermions. Le PDG indique aussi que les exigences de jauge et de renormalisabilité empêchent d’écrire, avec les seuls champs du Modèle standard, des termes donnant des masses de Majorana aux neutrinos après brisure électrofaible.</w:t>
      </w:r>
    </w:p>
    <w:p>
      <w:pPr>
        <w:pStyle w:val="BodyText"/>
      </w:pPr>
      <w:r>
        <w:t xml:space="preserve">Cela signifie que la fiche Yukawa doit rester centrée sur les fermions chargés et les quarks dans le cadre minimal. Les masses des neutrinos relèvent d’un dossier séparé : oscillations, masses effectives, mécanismes au-delà du Modèle standard minimal, termes de Majorana ou mécanisme de seesaw selon les modèles.</w:t>
      </w:r>
    </w:p>
    <w:p>
      <w:pPr>
        <w:pStyle w:val="BodyText"/>
      </w:pPr>
      <w:r>
        <w:t xml:space="preserve">Pour l’enquête, c’est une limite utile. Elle montre que les Yukawa du Modèle standard ne règlent pas toute la question des masses fermioniques. Ils structurent un domaine précis : les masses des fermions chargés et des quarks dans le régime électrofaible brisé.</w:t>
      </w:r>
    </w:p>
    <w:bookmarkEnd w:id="27"/>
    <w:bookmarkStart w:id="28" w:name="X08de553b9aa0a801f4a846909bbfb90935528a5"/>
    <w:p>
      <w:pPr>
        <w:pStyle w:val="Heading2"/>
      </w:pPr>
      <w:r>
        <w:t xml:space="preserve">8. Lecture par la grille des constantes effectives stabilisées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les Yukawa</w:t>
            </w:r>
          </w:p>
        </w:tc>
      </w:tr>
      <w:tr>
        <w:tc>
          <w:tcPr/>
          <w:p>
            <w:pPr>
              <w:pStyle w:val="Compact"/>
            </w:pPr>
            <w:r>
              <w:t xml:space="preserve">Type de grandeur</w:t>
            </w:r>
          </w:p>
        </w:tc>
        <w:tc>
          <w:tcPr/>
          <w:p>
            <w:pPr>
              <w:pStyle w:val="Compact"/>
            </w:pPr>
            <w:r>
              <w:t xml:space="preserve">Couplages sans dimension</w:t>
            </w:r>
          </w:p>
        </w:tc>
      </w:tr>
      <w:tr>
        <w:tc>
          <w:tcPr/>
          <w:p>
            <w:pPr>
              <w:pStyle w:val="Compact"/>
            </w:pPr>
            <w:r>
              <w:t xml:space="preserve">Forme générale</w:t>
            </w:r>
          </w:p>
        </w:tc>
        <w:tc>
          <w:tcPr/>
          <w:p>
            <w:pPr>
              <w:pStyle w:val="Compact"/>
            </w:pPr>
            <w:r>
              <w:t xml:space="preserve">Matrices (Y_u), (Y_d), (Y_e)</w:t>
            </w:r>
          </w:p>
        </w:tc>
      </w:tr>
      <w:tr>
        <w:tc>
          <w:tcPr/>
          <w:p>
            <w:pPr>
              <w:pStyle w:val="Compact"/>
            </w:pPr>
            <w:r>
              <w:t xml:space="preserve">Forme diagonalisée</w:t>
            </w:r>
          </w:p>
        </w:tc>
        <w:tc>
          <w:tcPr/>
          <w:p>
            <w:pPr>
              <w:pStyle w:val="Compact"/>
            </w:pPr>
            <w:r>
              <w:t xml:space="preserve">Valeurs (y_f) associées aux fermions massifs</w:t>
            </w:r>
          </w:p>
        </w:tc>
      </w:tr>
      <w:tr>
        <w:tc>
          <w:tcPr/>
          <w:p>
            <w:pPr>
              <w:pStyle w:val="Compact"/>
            </w:pPr>
            <w:r>
              <w:t xml:space="preserve">Relation aux masses</w:t>
            </w:r>
          </w:p>
        </w:tc>
        <w:tc>
          <w:tcPr/>
          <w:p>
            <w:pPr>
              <w:pStyle w:val="Compact"/>
            </w:pPr>
            <w:r>
              <w:t xml:space="preserve">(m_f = y_f v/</w:t>
            </w:r>
            <w:r>
              <w:t xml:space="preserve">)</w:t>
            </w:r>
          </w:p>
        </w:tc>
      </w:tr>
      <w:tr>
        <w:tc>
          <w:tcPr/>
          <w:p>
            <w:pPr>
              <w:pStyle w:val="Compact"/>
            </w:pPr>
            <w:r>
              <w:t xml:space="preserve">Régime requis pour les masses</w:t>
            </w:r>
          </w:p>
        </w:tc>
        <w:tc>
          <w:tcPr/>
          <w:p>
            <w:pPr>
              <w:pStyle w:val="Compact"/>
            </w:pPr>
            <w:r>
              <w:t xml:space="preserve">Régime électrofaible brisé</w:t>
            </w:r>
          </w:p>
        </w:tc>
      </w:tr>
      <w:tr>
        <w:tc>
          <w:tcPr/>
          <w:p>
            <w:pPr>
              <w:pStyle w:val="Compact"/>
            </w:pPr>
            <w:r>
              <w:t xml:space="preserve">Rôle physique</w:t>
            </w:r>
          </w:p>
        </w:tc>
        <w:tc>
          <w:tcPr/>
          <w:p>
            <w:pPr>
              <w:pStyle w:val="Compact"/>
            </w:pPr>
            <w:r>
              <w:t xml:space="preserve">Différenciation des masses fermioniques</w:t>
            </w:r>
          </w:p>
        </w:tc>
      </w:tr>
      <w:tr>
        <w:tc>
          <w:tcPr/>
          <w:p>
            <w:pPr>
              <w:pStyle w:val="Compact"/>
            </w:pPr>
            <w:r>
              <w:t xml:space="preserve">Statut théorique</w:t>
            </w:r>
          </w:p>
        </w:tc>
        <w:tc>
          <w:tcPr/>
          <w:p>
            <w:pPr>
              <w:pStyle w:val="Compact"/>
            </w:pPr>
            <w:r>
              <w:t xml:space="preserve">Paramètres libres du Modèle standard minimal</w:t>
            </w:r>
          </w:p>
        </w:tc>
      </w:tr>
      <w:tr>
        <w:tc>
          <w:tcPr/>
          <w:p>
            <w:pPr>
              <w:pStyle w:val="Compact"/>
            </w:pPr>
            <w:r>
              <w:t xml:space="preserve">Statut expérimental</w:t>
            </w:r>
          </w:p>
        </w:tc>
        <w:tc>
          <w:tcPr/>
          <w:p>
            <w:pPr>
              <w:pStyle w:val="Compact"/>
            </w:pPr>
            <w:r>
              <w:t xml:space="preserve">Testés par les couplages du Higgs aux fermions</w:t>
            </w:r>
          </w:p>
        </w:tc>
      </w:tr>
      <w:tr>
        <w:tc>
          <w:tcPr/>
          <w:p>
            <w:pPr>
              <w:pStyle w:val="Compact"/>
            </w:pPr>
            <w:r>
              <w:t xml:space="preserve">Problème associé</w:t>
            </w:r>
          </w:p>
        </w:tc>
        <w:tc>
          <w:tcPr/>
          <w:p>
            <w:pPr>
              <w:pStyle w:val="Compact"/>
            </w:pPr>
            <w:r>
              <w:t xml:space="preserve">Hiérarchie des masses et problème de saveur</w:t>
            </w:r>
          </w:p>
        </w:tc>
      </w:tr>
      <w:tr>
        <w:tc>
          <w:tcPr/>
          <w:p>
            <w:pPr>
              <w:pStyle w:val="Compact"/>
            </w:pPr>
            <w:r>
              <w:t xml:space="preserve">Catégorie proposée</w:t>
            </w:r>
          </w:p>
        </w:tc>
        <w:tc>
          <w:tcPr/>
          <w:p>
            <w:pPr>
              <w:pStyle w:val="Compact"/>
            </w:pPr>
            <w:r>
              <w:t xml:space="preserve">Constantes de différenciation fermionique</w:t>
            </w:r>
          </w:p>
        </w:tc>
      </w:tr>
    </w:tbl>
    <w:bookmarkEnd w:id="28"/>
    <w:bookmarkStart w:id="29" w:name="formulation-provisoire"/>
    <w:p>
      <w:pPr>
        <w:pStyle w:val="Heading2"/>
      </w:pPr>
      <w:r>
        <w:t xml:space="preserve">9. Formulation provisoire</w:t>
      </w:r>
    </w:p>
    <w:p>
      <w:pPr>
        <w:pStyle w:val="FirstParagraph"/>
      </w:pPr>
      <w:r>
        <w:t xml:space="preserve">Les couplages de Yukawa peuvent être compris comme des constantes de différenciation fermionique du régime électrofaible. Ils sont sans dimension et fondamentaux dans le cadre du Modèle standard minimal, mais leur effet massif ne devient lisible qu’après l’installation de la valeur moyenne du champ de Higgs.</w:t>
      </w:r>
    </w:p>
    <w:p>
      <w:pPr>
        <w:pStyle w:val="BodyText"/>
      </w:pPr>
      <w:r>
        <w:t xml:space="preserve">Ils ne fixent pas l’échelle commune du régime électrofaible ; cette fonction revient à (v). Ils déterminent comment cette échelle se distribue entre les fermions. Leur constance est donc celle d’un profil de différenciation : une structure de couplages qui transforme une échelle commune en hiérarchie de masses.</w:t>
      </w:r>
    </w:p>
    <w:p>
      <w:pPr>
        <w:pStyle w:val="BodyText"/>
      </w:pPr>
      <w:r>
        <w:t xml:space="preserve">La question pertinente devient :</w:t>
      </w:r>
    </w:p>
    <w:p>
      <w:pPr>
        <w:pStyle w:val="BodyText"/>
      </w:pPr>
      <w:r>
        <w:rPr>
          <w:b/>
          <w:bCs/>
        </w:rPr>
        <w:t xml:space="preserve">À quelles conditions les couplages de Yukawa peuvent-ils être traités comme des constantes stabilisées, alors qu’ils sont à la fois des paramètres libres du Modèle standard, des couplages mesurables du Higgs et les opérateurs de différenciation des masses fermioniques ?</w:t>
      </w:r>
    </w:p>
    <w:bookmarkEnd w:id="29"/>
    <w:bookmarkStart w:id="30" w:name="X26ce6ccc34ddb298f9b279c2893ef37e6145b39"/>
    <w:p>
      <w:pPr>
        <w:pStyle w:val="Heading2"/>
      </w:pPr>
      <w:r>
        <w:t xml:space="preserve">10. Fonction de cette fiche dans l’enquête générale</w:t>
      </w:r>
    </w:p>
    <w:p>
      <w:pPr>
        <w:pStyle w:val="FirstParagraph"/>
      </w:pPr>
      <w:r>
        <w:t xml:space="preserve">La fiche Yukawa confirme que le second cycle ne porte plus seulement sur des constantes définies dans un régime, mais sur des grandeurs qui organisent la différenciation interne de ce régime.</w:t>
      </w:r>
    </w:p>
    <w:p>
      <w:pPr>
        <w:pStyle w:val="BodyText"/>
      </w:pPr>
      <w:r>
        <w:t xml:space="preserve">La fiche (v) avait introduit une constante de régime générateur. La fiche Yukawa introduit maintenant une catégorie complémentaire :</w:t>
      </w:r>
    </w:p>
    <w:p>
      <w:pPr>
        <w:pStyle w:val="BodyText"/>
      </w:pPr>
      <w:r>
        <w:rPr>
          <w:b/>
          <w:bCs/>
        </w:rPr>
        <w:t xml:space="preserve">constantes de différenciation fermionique.</w:t>
      </w:r>
    </w:p>
    <w:p>
      <w:pPr>
        <w:pStyle w:val="BodyText"/>
      </w:pPr>
      <w:r>
        <w:t xml:space="preserve">Cette catégorie désigne des paramètres sans dimension qui ne produisent pas seuls un régime physique, mais qui déterminent comment une structure commune se répartit entre familles de particules. Les Yukawa montrent ainsi qu’un régime stabilisé peut contenir sa propre architecture interne de différenciation.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2026-07-08T17:48:11Z</dcterms:created>
  <dcterms:modified xsi:type="dcterms:W3CDTF">2026-07-08T17:48:11Z</dcterms:modified>
</cp:coreProperties>
</file>

<file path=docProps/custom.xml><?xml version="1.0" encoding="utf-8"?>
<Properties xmlns="http://schemas.openxmlformats.org/officeDocument/2006/custom-properties" xmlns:vt="http://schemas.openxmlformats.org/officeDocument/2006/docPropsVTypes"/>
</file>