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test-de-la-famille-seuil-v0.1"/>
    <w:p>
      <w:pPr>
        <w:pStyle w:val="Heading1"/>
      </w:pPr>
      <w:r>
        <w:t xml:space="preserve">Test de la famille Seuil v0.1</w:t>
      </w:r>
    </w:p>
    <w:bookmarkStart w:id="20" w:name="X9432c0e8b1ba560d01f5582d0d677451f529e60"/>
    <w:p>
      <w:pPr>
        <w:pStyle w:val="Heading2"/>
      </w:pPr>
      <w:r>
        <w:t xml:space="preserve">(M_W), (</w:t>
      </w:r>
      <w:r>
        <w:t xml:space="preserve">_{</w:t>
      </w:r>
      <w:r>
        <w:t xml:space="preserve">}) et la frontière entre seuil et échelle</w:t>
      </w:r>
    </w:p>
    <w:bookmarkEnd w:id="20"/>
    <w:bookmarkStart w:id="21" w:name="fonction-du-test"/>
    <w:p>
      <w:pPr>
        <w:pStyle w:val="Heading2"/>
      </w:pPr>
      <w:r>
        <w:t xml:space="preserve">1. Fonction du test</w:t>
      </w:r>
    </w:p>
    <w:p>
      <w:pPr>
        <w:pStyle w:val="FirstParagraph"/>
      </w:pPr>
      <w:r>
        <w:t xml:space="preserve">La famille</w:t>
      </w:r>
      <w:r>
        <w:t xml:space="preserve"> </w:t>
      </w:r>
      <w:r>
        <w:rPr>
          <w:b/>
          <w:bCs/>
        </w:rPr>
        <w:t xml:space="preserve">Seuil</w:t>
      </w:r>
      <w:r>
        <w:t xml:space="preserve"> </w:t>
      </w:r>
      <w:r>
        <w:t xml:space="preserve">reste fragile. Elle est apparue avec la masse absolue des neutrinos, où elle désigne l’ancrage d’un spectre dont les écarts sont déjà connus :</w:t>
      </w:r>
    </w:p>
    <w:p>
      <w:pPr>
        <w:pStyle w:val="BodyText"/>
      </w:pPr>
      <w:r>
        <w:t xml:space="preserve">[</w:t>
      </w:r>
      <w:r>
        <w:t xml:space="preserve"> </w:t>
      </w:r>
      <w:r>
        <w:t xml:space="preserve">m</w:t>
      </w:r>
      <w:r>
        <w:rPr>
          <w:vertAlign w:val="superscript"/>
        </w:rPr>
        <w:t xml:space="preserve">2_{21},</w:t>
      </w:r>
      <w:r>
        <w:rPr>
          <w:vertAlign w:val="superscript"/>
        </w:rPr>
        <w:t xml:space="preserve">m</w:t>
      </w:r>
      <w:r>
        <w:t xml:space="preserve">2_{3</w:t>
      </w:r>
      <w:r>
        <w:t xml:space="preserve">}</w:t>
      </w:r>
      <w:r>
        <w:t xml:space="preserve"> </w:t>
      </w:r>
      <w:r>
        <w:t xml:space="preserve">]</w:t>
      </w:r>
    </w:p>
    <w:p>
      <w:pPr>
        <w:pStyle w:val="BodyText"/>
      </w:pPr>
      <w:r>
        <w:t xml:space="preserve">d’un côté,</w:t>
      </w:r>
    </w:p>
    <w:p>
      <w:pPr>
        <w:pStyle w:val="BodyText"/>
      </w:pPr>
      <w:r>
        <w:t xml:space="preserve">et :</w:t>
      </w:r>
    </w:p>
    <w:p>
      <w:pPr>
        <w:pStyle w:val="BodyText"/>
      </w:pPr>
      <w:r>
        <w:t xml:space="preserve">[</w:t>
      </w:r>
      <w:r>
        <w:t xml:space="preserve"> </w:t>
      </w:r>
      <w:r>
        <w:t xml:space="preserve">m_</w:t>
      </w:r>
      <w:r>
        <w:t xml:space="preserve">,</w:t>
      </w:r>
      <w:r>
        <w:t xml:space="preserve">m_</w:t>
      </w:r>
      <w:r>
        <w:t xml:space="preserve">,</w:t>
      </w:r>
      <w:r>
        <w:t xml:space="preserve">m_{</w:t>
      </w:r>
      <w:r>
        <w:t xml:space="preserve">}</w:t>
      </w:r>
      <w:r>
        <w:t xml:space="preserve"> </w:t>
      </w:r>
      <w:r>
        <w:t xml:space="preserve">]</w:t>
      </w:r>
    </w:p>
    <w:p>
      <w:pPr>
        <w:pStyle w:val="BodyText"/>
      </w:pPr>
      <w:r>
        <w:t xml:space="preserve">de l’autre.</w:t>
      </w:r>
    </w:p>
    <w:p>
      <w:pPr>
        <w:pStyle w:val="BodyText"/>
      </w:pPr>
      <w:r>
        <w:t xml:space="preserve">La question est maintenant plus générale :</w:t>
      </w:r>
    </w:p>
    <w:p>
      <w:pPr>
        <w:pStyle w:val="BodyText"/>
      </w:pPr>
      <w:r>
        <w:t xml:space="preserve">[</w:t>
      </w:r>
      <w:r>
        <w:t xml:space="preserve"> </w:t>
      </w:r>
      <w:r>
        <w:t xml:space="preserve"> </w:t>
      </w:r>
      <w:r>
        <w:t xml:space="preserve">]</w:t>
      </w:r>
    </w:p>
    <w:p>
      <w:pPr>
        <w:pStyle w:val="BodyText"/>
      </w:pPr>
      <w:r>
        <w:t xml:space="preserve">ou bien :</w:t>
      </w:r>
    </w:p>
    <w:p>
      <w:pPr>
        <w:pStyle w:val="BodyText"/>
      </w:pPr>
      <w:r>
        <w:t xml:space="preserve">[</w:t>
      </w:r>
      <w:r>
        <w:t xml:space="preserve"> </w:t>
      </w:r>
      <w:r>
        <w:t xml:space="preserve"> </w:t>
      </w:r>
      <w:r>
        <w:t xml:space="preserve">]</w:t>
      </w:r>
    </w:p>
    <w:p>
      <w:pPr>
        <w:pStyle w:val="BodyText"/>
      </w:pPr>
      <w:r>
        <w:t xml:space="preserve">Le test porte sur deux cas :</w:t>
      </w:r>
    </w:p>
    <w:p>
      <w:pPr>
        <w:pStyle w:val="BodyText"/>
      </w:pPr>
      <w:r>
        <w:t xml:space="preserve">[</w:t>
      </w:r>
      <w:r>
        <w:t xml:space="preserve"> </w:t>
      </w:r>
      <w:r>
        <w:t xml:space="preserve">M_W</w:t>
      </w:r>
      <w:r>
        <w:t xml:space="preserve"> </w:t>
      </w:r>
      <w:r>
        <w:t xml:space="preserve">]</w:t>
      </w:r>
    </w:p>
    <w:p>
      <w:pPr>
        <w:pStyle w:val="BodyText"/>
      </w:pPr>
      <w:r>
        <w:t xml:space="preserve">la masse du boson (W), lue comme seuil de validité de la théorie de Fermi,</w:t>
      </w:r>
    </w:p>
    <w:p>
      <w:pPr>
        <w:pStyle w:val="BodyText"/>
      </w:pPr>
      <w:r>
        <w:t xml:space="preserve">et :</w:t>
      </w:r>
    </w:p>
    <w:p>
      <w:pPr>
        <w:pStyle w:val="BodyText"/>
      </w:pPr>
      <w:r>
        <w:t xml:space="preserve">[</w:t>
      </w:r>
      <w:r>
        <w:t xml:space="preserve"> </w:t>
      </w:r>
      <w:r>
        <w:t xml:space="preserve">_{</w:t>
      </w:r>
      <w:r>
        <w:t xml:space="preserve">}</w:t>
      </w:r>
      <w:r>
        <w:t xml:space="preserve"> </w:t>
      </w:r>
      <w:r>
        <w:t xml:space="preserve">]</w:t>
      </w:r>
    </w:p>
    <w:p>
      <w:pPr>
        <w:pStyle w:val="BodyText"/>
      </w:pPr>
      <w:r>
        <w:t xml:space="preserve">l’échelle QCD, lue comme seuil de passage entre régime perturbatif et non perturbatif.</w:t>
      </w:r>
    </w:p>
    <w:p>
      <w:pPr>
        <w:pStyle w:val="BodyText"/>
      </w:pPr>
      <w:r>
        <w:t xml:space="preserve">Ces deux cas sont volontairement ambigus. C’est précisément leur intérêt.</w:t>
      </w:r>
    </w:p>
    <w:bookmarkEnd w:id="21"/>
    <w:bookmarkStart w:id="22" w:name="critère-de-décision"/>
    <w:p>
      <w:pPr>
        <w:pStyle w:val="Heading2"/>
      </w:pPr>
      <w:r>
        <w:t xml:space="preserve">2. Critère de décision</w:t>
      </w:r>
    </w:p>
    <w:p>
      <w:pPr>
        <w:pStyle w:val="FirstParagraph"/>
      </w:pPr>
      <w:r>
        <w:t xml:space="preserve">La distinction à tester est la suivante :</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Une grandeur peut jouer les deux rôles. Mais il faut décider lequel est premier.</w:t>
      </w:r>
    </w:p>
    <w:p>
      <w:pPr>
        <w:pStyle w:val="BodyText"/>
      </w:pPr>
      <w:r>
        <w:t xml:space="preserve">Si une grandeur structure d’abord un régime, puis sert secondairement de limite, elle appartient principalement à :</w:t>
      </w:r>
    </w:p>
    <w:p>
      <w:pPr>
        <w:pStyle w:val="BodyText"/>
      </w:pPr>
      <w:r>
        <w:t xml:space="preserve">[</w:t>
      </w:r>
      <w:r>
        <w:t xml:space="preserve"> </w:t>
      </w:r>
      <w:r>
        <w:t xml:space="preserve"> </w:t>
      </w:r>
      <w:r>
        <w:t xml:space="preserve">]</w:t>
      </w:r>
    </w:p>
    <w:p>
      <w:pPr>
        <w:pStyle w:val="BodyText"/>
      </w:pPr>
      <w:r>
        <w:t xml:space="preserve">avec une fonction secondaire de seuil.</w:t>
      </w:r>
    </w:p>
    <w:p>
      <w:pPr>
        <w:pStyle w:val="BodyText"/>
      </w:pPr>
      <w:r>
        <w:t xml:space="preserve">Si une grandeur sert d’abord à fixer une limite, un ancrage ou une borne, elle peut relever de :</w:t>
      </w:r>
    </w:p>
    <w:p>
      <w:pPr>
        <w:pStyle w:val="BodyText"/>
      </w:pPr>
      <w:r>
        <w:t xml:space="preserve">[</w:t>
      </w:r>
      <w:r>
        <w:t xml:space="preserve"> </w:t>
      </w:r>
      <w:r>
        <w:t xml:space="preserve"> </w:t>
      </w:r>
      <w:r>
        <w:t xml:space="preserve">]</w:t>
      </w:r>
    </w:p>
    <w:p>
      <w:pPr>
        <w:pStyle w:val="BodyText"/>
      </w:pPr>
      <w:r>
        <w:t xml:space="preserve">comme famille principale.</w:t>
      </w:r>
    </w:p>
    <w:p>
      <w:pPr>
        <w:pStyle w:val="BodyText"/>
      </w:pPr>
      <w:r>
        <w:t xml:space="preserve">Le test se joue donc sur la priorité fonctionnelle.</w:t>
      </w:r>
    </w:p>
    <w:bookmarkEnd w:id="22"/>
    <w:bookmarkStart w:id="23" w:name="premier-cas-m_w"/>
    <w:p>
      <w:pPr>
        <w:pStyle w:val="Heading2"/>
      </w:pPr>
      <w:r>
        <w:t xml:space="preserve">3. Premier cas : (M_W)</w:t>
      </w:r>
    </w:p>
    <w:p>
      <w:pPr>
        <w:pStyle w:val="FirstParagraph"/>
      </w:pPr>
      <w:r>
        <w:t xml:space="preserve">La masse du boson (W) est de l’ordre de :</w:t>
      </w:r>
    </w:p>
    <w:p>
      <w:pPr>
        <w:pStyle w:val="BodyText"/>
      </w:pPr>
      <w:r>
        <w:t xml:space="preserve">[</w:t>
      </w:r>
      <w:r>
        <w:t xml:space="preserve"> </w:t>
      </w:r>
      <w:r>
        <w:t xml:space="preserve">M_W</w:t>
      </w:r>
      <w:r>
        <w:t xml:space="preserve"> </w:t>
      </w:r>
      <w:r>
        <w:t xml:space="preserve">4 </w:t>
      </w:r>
      <w:r>
        <w:t xml:space="preserve"> </w:t>
      </w:r>
      <w:r>
        <w:t xml:space="preserve">]</w:t>
      </w:r>
    </w:p>
    <w:p>
      <w:pPr>
        <w:pStyle w:val="BodyText"/>
      </w:pPr>
      <w:r>
        <w:t xml:space="preserve">Une mesure ATLAS récente donne par exemple :</w:t>
      </w:r>
    </w:p>
    <w:p>
      <w:pPr>
        <w:pStyle w:val="BodyText"/>
      </w:pPr>
      <w:r>
        <w:t xml:space="preserve">[</w:t>
      </w:r>
      <w:r>
        <w:t xml:space="preserve"> </w:t>
      </w:r>
      <w:r>
        <w:t xml:space="preserve">m_W = 80366{,}5</w:t>
      </w:r>
      <w:r>
        <w:t xml:space="preserve"> </w:t>
      </w:r>
      <w:r>
        <w:t xml:space="preserve">9 </w:t>
      </w:r>
      <w:r>
        <w:t xml:space="preserve"> </w:t>
      </w:r>
      <w:r>
        <w:t xml:space="preserve">]</w:t>
      </w:r>
    </w:p>
    <w:p>
      <w:pPr>
        <w:pStyle w:val="BodyText"/>
      </w:pPr>
      <w:r>
        <w:t xml:space="preserve">compatible avec les ajustements électrofaibles de précision.</w:t>
      </w:r>
    </w:p>
    <w:p>
      <w:pPr>
        <w:pStyle w:val="BodyText"/>
      </w:pPr>
      <w:r>
        <w:t xml:space="preserve">Physiquement, (M_W) est d’abord la masse d’un boson de jauge faible massif. Dans le régime électrofaible brisé, elle est reliée à l’échelle de Higgs par :</w:t>
      </w:r>
    </w:p>
    <w:p>
      <w:pPr>
        <w:pStyle w:val="BodyText"/>
      </w:pPr>
      <w:r>
        <w:t xml:space="preserve">[</w:t>
      </w:r>
      <w:r>
        <w:t xml:space="preserve"> </w:t>
      </w:r>
      <w:r>
        <w:t xml:space="preserve">M_W=</w:t>
      </w:r>
      <w:r>
        <w:t xml:space="preserve"> </w:t>
      </w:r>
      <w:r>
        <w:t xml:space="preserve">]</w:t>
      </w:r>
    </w:p>
    <w:p>
      <w:pPr>
        <w:pStyle w:val="BodyText"/>
      </w:pPr>
      <w:r>
        <w:t xml:space="preserve">Elle appartient donc directement à l’architecture électrofaible :</w:t>
      </w:r>
    </w:p>
    <w:p>
      <w:pPr>
        <w:pStyle w:val="BodyText"/>
      </w:pPr>
      <w:r>
        <w:t xml:space="preserve">[</w:t>
      </w:r>
      <w:r>
        <w:t xml:space="preserve"> </w:t>
      </w:r>
      <w:r>
        <w:t xml:space="preserve">v</w:t>
      </w:r>
    </w:p>
    <w:p>
      <w:pPr>
        <w:numPr>
          <w:ilvl w:val="0"/>
          <w:numId w:val="1001"/>
        </w:numPr>
      </w:pPr>
      <w:r>
        <w:t xml:space="preserve">g</w:t>
      </w:r>
    </w:p>
    <w:p>
      <w:pPr>
        <w:numPr>
          <w:ilvl w:val="0"/>
          <w:numId w:val="1001"/>
        </w:numPr>
      </w:pPr>
      <w:r>
        <w:t xml:space="preserve">M_W</w:t>
      </w:r>
      <w:r>
        <w:t xml:space="preserve"> </w:t>
      </w:r>
      <w:r>
        <w:t xml:space="preserve">]</w:t>
      </w:r>
    </w:p>
    <w:p>
      <w:pPr>
        <w:pStyle w:val="FirstParagraph"/>
      </w:pPr>
      <w:r>
        <w:t xml:space="preserve">Mais (M_W) joue aussi un rôle de seuil : à basse énergie, lorsque :</w:t>
      </w:r>
    </w:p>
    <w:p>
      <w:pPr>
        <w:pStyle w:val="BodyText"/>
      </w:pPr>
      <w:r>
        <w:t xml:space="preserve">[</w:t>
      </w:r>
      <w:r>
        <w:t xml:space="preserve"> </w:t>
      </w:r>
      <w:r>
        <w:t xml:space="preserve">E</w:t>
      </w:r>
      <w:r>
        <w:t xml:space="preserve">M_W</w:t>
      </w:r>
      <w:r>
        <w:t xml:space="preserve"> </w:t>
      </w:r>
      <w:r>
        <w:t xml:space="preserve">]</w:t>
      </w:r>
    </w:p>
    <w:p>
      <w:pPr>
        <w:pStyle w:val="BodyText"/>
      </w:pPr>
      <w:r>
        <w:t xml:space="preserve">l’échange d’un boson (W) peut être remplacé par une interaction effective à quatre fermions. La théorie de Fermi est précisément comprise comme théorie effective basse énergie de l’interaction faible médiée par (W^</w:t>
      </w:r>
      <w:r>
        <w:t xml:space="preserve">).</w:t>
      </w:r>
    </w:p>
    <w:p>
      <w:pPr>
        <w:pStyle w:val="BodyText"/>
      </w:pPr>
      <w:r>
        <w:t xml:space="preserve">La question devient donc :</w:t>
      </w:r>
    </w:p>
    <w:p>
      <w:pPr>
        <w:pStyle w:val="BodyText"/>
      </w:pPr>
      <w:r>
        <w:t xml:space="preserve">[</w:t>
      </w:r>
      <w:r>
        <w:t xml:space="preserve"> </w:t>
      </w:r>
      <w:r>
        <w:t xml:space="preserve">M_W</w:t>
      </w:r>
      <w:r>
        <w:t xml:space="preserve"> </w:t>
      </w:r>
      <w:r>
        <w:t xml:space="preserve">]</w:t>
      </w:r>
    </w:p>
    <w:p>
      <w:pPr>
        <w:pStyle w:val="BodyText"/>
      </w:pPr>
      <w:r>
        <w:t xml:space="preserve">est-il principalement une échelle, ou principalement un seuil ?</w:t>
      </w:r>
    </w:p>
    <w:bookmarkEnd w:id="23"/>
    <w:bookmarkStart w:id="24" w:name="m_w-comme-échelle"/>
    <w:p>
      <w:pPr>
        <w:pStyle w:val="Heading2"/>
      </w:pPr>
      <w:r>
        <w:t xml:space="preserve">4. (M_W) comme échelle</w:t>
      </w:r>
    </w:p>
    <w:p>
      <w:pPr>
        <w:pStyle w:val="FirstParagraph"/>
      </w:pPr>
      <w:r>
        <w:t xml:space="preserve">Comme échelle, (M_W) est une masse physique du régime électrofaible brisé.</w:t>
      </w:r>
    </w:p>
    <w:p>
      <w:pPr>
        <w:pStyle w:val="BodyText"/>
      </w:pPr>
      <w:r>
        <w:t xml:space="preserve">Elle n’est pas seulement une limite de validité. Elle est une particule du spectre du Modèle standard. Sa valeur participe aux relations électrofaibles :</w:t>
      </w:r>
    </w:p>
    <w:p>
      <w:pPr>
        <w:pStyle w:val="BodyText"/>
      </w:pPr>
      <w:r>
        <w:t xml:space="preserve">[</w:t>
      </w:r>
      <w:r>
        <w:t xml:space="preserve"> </w:t>
      </w:r>
      <w:r>
        <w:t xml:space="preserve">M_W=</w:t>
      </w:r>
      <w:r>
        <w:t xml:space="preserve"> </w:t>
      </w:r>
      <w:r>
        <w:t xml:space="preserve">]</w:t>
      </w:r>
    </w:p>
    <w:p>
      <w:pPr>
        <w:pStyle w:val="BodyText"/>
      </w:pPr>
      <w:r>
        <w:t xml:space="preserve">[</w:t>
      </w:r>
      <w:r>
        <w:t xml:space="preserve"> </w:t>
      </w:r>
      <w:r>
        <w:t xml:space="preserve">M_Z=</w:t>
      </w:r>
      <w:r>
        <w:t xml:space="preserve"> </w:t>
      </w:r>
      <w:r>
        <w:t xml:space="preserve">]</w:t>
      </w:r>
    </w:p>
    <w:p>
      <w:pPr>
        <w:pStyle w:val="BodyText"/>
      </w:pPr>
      <w:r>
        <w:t xml:space="preserve">[</w:t>
      </w:r>
      <w:r>
        <w:t xml:space="preserve"> </w:t>
      </w:r>
      <w:r>
        <w:t xml:space="preserve">_W=</w:t>
      </w:r>
      <w:r>
        <w:t xml:space="preserve"> </w:t>
      </w:r>
      <w:r>
        <w:t xml:space="preserve">]</w:t>
      </w:r>
    </w:p>
    <w:p>
      <w:pPr>
        <w:pStyle w:val="BodyText"/>
      </w:pPr>
      <w:r>
        <w:t xml:space="preserve">Son rôle premier est donc de matérialiser l’échelle électrofaible dans le secteur des bosons faibles.</w:t>
      </w:r>
    </w:p>
    <w:p>
      <w:pPr>
        <w:pStyle w:val="BodyText"/>
      </w:pPr>
      <w:r>
        <w:t xml:space="preserve">Lecture principale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Architecture :</w:t>
      </w:r>
    </w:p>
    <w:p>
      <w:pPr>
        <w:pStyle w:val="BodyText"/>
      </w:pPr>
      <w:r>
        <w:t xml:space="preserve">[</w:t>
      </w:r>
      <w:r>
        <w:t xml:space="preserve"> </w:t>
      </w:r>
      <w:r>
        <w:t xml:space="preserve"> </w:t>
      </w:r>
      <w:r>
        <w:t xml:space="preserve">]</w:t>
      </w:r>
    </w:p>
    <w:bookmarkEnd w:id="24"/>
    <w:bookmarkStart w:id="25" w:name="m_w-comme-seuil"/>
    <w:p>
      <w:pPr>
        <w:pStyle w:val="Heading2"/>
      </w:pPr>
      <w:r>
        <w:t xml:space="preserve">5. (M_W) comme seuil</w:t>
      </w:r>
    </w:p>
    <w:p>
      <w:pPr>
        <w:pStyle w:val="FirstParagraph"/>
      </w:pPr>
      <w:r>
        <w:t xml:space="preserve">Comme seuil, (M_W) marque la limite de validité de la théorie de Fermi.</w:t>
      </w:r>
    </w:p>
    <w:p>
      <w:pPr>
        <w:pStyle w:val="BodyText"/>
      </w:pPr>
      <w:r>
        <w:t xml:space="preserve">À des énergies très inférieures à (M_W), l’interaction faible peut être décrite par un coefficient effectif :</w:t>
      </w:r>
    </w:p>
    <w:p>
      <w:pPr>
        <w:pStyle w:val="BodyText"/>
      </w:pPr>
      <w:r>
        <w:t xml:space="preserve">[</w:t>
      </w:r>
      <w:r>
        <w:t xml:space="preserve"> </w:t>
      </w:r>
      <w:r>
        <w:t xml:space="preserve">G_F</w:t>
      </w:r>
      <w:r>
        <w:t xml:space="preserve"> </w:t>
      </w:r>
      <w:r>
        <w:t xml:space="preserve">]</w:t>
      </w:r>
    </w:p>
    <w:p>
      <w:pPr>
        <w:pStyle w:val="BodyText"/>
      </w:pPr>
      <w:r>
        <w:t xml:space="preserve">avec, au niveau arbre :</w:t>
      </w:r>
    </w:p>
    <w:p>
      <w:pPr>
        <w:pStyle w:val="BodyText"/>
      </w:pPr>
      <w:r>
        <w:t xml:space="preserve">[</w:t>
      </w:r>
      <w:r>
        <w:t xml:space="preserve"> </w:t>
      </w:r>
      <w:r>
        <w:t xml:space="preserve">=</w:t>
      </w:r>
      <w:r>
        <w:t xml:space="preserve"> </w:t>
      </w:r>
      <w:r>
        <w:t xml:space="preserve">]</w:t>
      </w:r>
    </w:p>
    <w:p>
      <w:pPr>
        <w:pStyle w:val="BodyText"/>
      </w:pPr>
      <w:r>
        <w:t xml:space="preserve">Dans cette lecture, (M_W) n’est pas seulement une masse. Il est le seuil à partir duquel la description locale à quatre fermions cesse d’être suffisante et doit être remplacée par la théorie électrofaible avec boson (W) propagateur.</w:t>
      </w:r>
    </w:p>
    <w:p>
      <w:pPr>
        <w:pStyle w:val="BodyText"/>
      </w:pPr>
      <w:r>
        <w:t xml:space="preserve">Lecture secondaire :</w:t>
      </w:r>
    </w:p>
    <w:p>
      <w:pPr>
        <w:pStyle w:val="BodyText"/>
      </w:pPr>
      <w:r>
        <w:t xml:space="preserve">[</w:t>
      </w:r>
      <w:r>
        <w:t xml:space="preserve"> </w:t>
      </w:r>
      <w:r>
        <w:t xml:space="preserve"> </w:t>
      </w:r>
      <w:r>
        <w:t xml:space="preserve">]</w:t>
      </w:r>
    </w:p>
    <w:p>
      <w:pPr>
        <w:pStyle w:val="BodyText"/>
      </w:pPr>
      <w:r>
        <w:t xml:space="preserve">Architecture :</w:t>
      </w:r>
    </w:p>
    <w:p>
      <w:pPr>
        <w:pStyle w:val="BodyText"/>
      </w:pPr>
      <w:r>
        <w:t xml:space="preserve">[</w:t>
      </w:r>
      <w:r>
        <w:t xml:space="preserve"> </w:t>
      </w:r>
      <w:r>
        <w:t xml:space="preserve"> </w:t>
      </w:r>
      <w:r>
        <w:t xml:space="preserve">]</w:t>
      </w:r>
    </w:p>
    <w:p>
      <w:pPr>
        <w:pStyle w:val="BodyText"/>
      </w:pPr>
      <w:r>
        <w:t xml:space="preserve">Mais ce rôle de seuil dépend du contraste entre deux descriptions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Il ne définit pas (M_W) tout entier.</w:t>
      </w:r>
    </w:p>
    <w:bookmarkEnd w:id="25"/>
    <w:bookmarkStart w:id="26" w:name="verdict-sur-m_w"/>
    <w:p>
      <w:pPr>
        <w:pStyle w:val="Heading2"/>
      </w:pPr>
      <w:r>
        <w:t xml:space="preserve">6. Verdict sur (M_W)</w:t>
      </w:r>
    </w:p>
    <w:p>
      <w:pPr>
        <w:pStyle w:val="FirstParagraph"/>
      </w:pPr>
      <w:r>
        <w:t xml:space="preserve">(M_W) ne confirme pas Seuil comme famille autonome.</w:t>
      </w:r>
    </w:p>
    <w:p>
      <w:pPr>
        <w:pStyle w:val="BodyText"/>
      </w:pPr>
      <w:r>
        <w:t xml:space="preserve">Il montre plutôt que</w:t>
      </w:r>
      <w:r>
        <w:t xml:space="preserve"> </w:t>
      </w:r>
      <w:r>
        <w:rPr>
          <w:b/>
          <w:bCs/>
        </w:rPr>
        <w:t xml:space="preserve">seuil peut être une fonction secondaire d’une échelle</w:t>
      </w:r>
      <w:r>
        <w:t xml:space="preserve">.</w:t>
      </w:r>
    </w:p>
    <w:p>
      <w:pPr>
        <w:pStyle w:val="BodyText"/>
      </w:pPr>
      <w:r>
        <w:t xml:space="preserve">Classement proposé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Axe</w:t>
            </w:r>
          </w:p>
        </w:tc>
        <w:tc>
          <w:tcPr/>
          <w:p>
            <w:pPr>
              <w:pStyle w:val="Compact"/>
            </w:pPr>
            <w:r>
              <w:t xml:space="preserve">Lecture pour (M_W)</w:t>
            </w:r>
          </w:p>
        </w:tc>
      </w:tr>
      <w:tr>
        <w:tc>
          <w:tcPr/>
          <w:p>
            <w:pPr>
              <w:pStyle w:val="Compact"/>
            </w:pPr>
            <w:r>
              <w:t xml:space="preserve">Famille principale</w:t>
            </w:r>
          </w:p>
        </w:tc>
        <w:tc>
          <w:tcPr/>
          <w:p>
            <w:pPr>
              <w:pStyle w:val="Compact"/>
            </w:pPr>
            <w:r>
              <w:t xml:space="preserve">Échelle</w:t>
            </w:r>
          </w:p>
        </w:tc>
      </w:tr>
      <w:tr>
        <w:tc>
          <w:tcPr/>
          <w:p>
            <w:pPr>
              <w:pStyle w:val="Compact"/>
            </w:pPr>
            <w:r>
              <w:t xml:space="preserve">Sous-type principal</w:t>
            </w:r>
          </w:p>
        </w:tc>
        <w:tc>
          <w:tcPr/>
          <w:p>
            <w:pPr>
              <w:pStyle w:val="Compact"/>
            </w:pPr>
            <w:r>
              <w:t xml:space="preserve">Masse de jauge du régime électrofaible brisé</w:t>
            </w:r>
          </w:p>
        </w:tc>
      </w:tr>
      <w:tr>
        <w:tc>
          <w:tcPr/>
          <w:p>
            <w:pPr>
              <w:pStyle w:val="Compact"/>
            </w:pPr>
            <w:r>
              <w:t xml:space="preserve">Fonction secondaire</w:t>
            </w:r>
          </w:p>
        </w:tc>
        <w:tc>
          <w:tcPr/>
          <w:p>
            <w:pPr>
              <w:pStyle w:val="Compact"/>
            </w:pPr>
            <w:r>
              <w:t xml:space="preserve">Seuil de validité de la théorie de Fermi</w:t>
            </w:r>
          </w:p>
        </w:tc>
      </w:tr>
      <w:tr>
        <w:tc>
          <w:tcPr/>
          <w:p>
            <w:pPr>
              <w:pStyle w:val="Compact"/>
            </w:pPr>
            <w:r>
              <w:t xml:space="preserve">Architecture principale</w:t>
            </w:r>
          </w:p>
        </w:tc>
        <w:tc>
          <w:tcPr/>
          <w:p>
            <w:pPr>
              <w:pStyle w:val="Compact"/>
            </w:pPr>
            <w:r>
              <w:t xml:space="preserve">Électrofaible / saveur-Higgs élargie</w:t>
            </w:r>
          </w:p>
        </w:tc>
      </w:tr>
      <w:tr>
        <w:tc>
          <w:tcPr/>
          <w:p>
            <w:pPr>
              <w:pStyle w:val="Compact"/>
            </w:pPr>
            <w:r>
              <w:t xml:space="preserve">Architecture secondaire</w:t>
            </w:r>
          </w:p>
        </w:tc>
        <w:tc>
          <w:tcPr/>
          <w:p>
            <w:pPr>
              <w:pStyle w:val="Compact"/>
            </w:pPr>
            <w:r>
              <w:t xml:space="preserve">Effective basse énergie</w:t>
            </w:r>
          </w:p>
        </w:tc>
      </w:tr>
      <w:tr>
        <w:tc>
          <w:tcPr/>
          <w:p>
            <w:pPr>
              <w:pStyle w:val="Compact"/>
            </w:pPr>
            <w:r>
              <w:t xml:space="preserve">Conclusion</w:t>
            </w:r>
          </w:p>
        </w:tc>
        <w:tc>
          <w:tcPr/>
          <w:p>
            <w:pPr>
              <w:pStyle w:val="Compact"/>
            </w:pPr>
            <w:r>
              <w:t xml:space="preserve">Seuil secondaire, non famille principale</w:t>
            </w:r>
          </w:p>
        </w:tc>
      </w:tr>
    </w:tbl>
    <w:p>
      <w:pPr>
        <w:pStyle w:val="BodyText"/>
      </w:pPr>
      <w:r>
        <w:t xml:space="preserve">Formulation :</w:t>
      </w:r>
    </w:p>
    <w:p>
      <w:pPr>
        <w:pStyle w:val="BodyText"/>
      </w:pPr>
      <w:r>
        <w:rPr>
          <w:b/>
          <w:bCs/>
        </w:rPr>
        <w:t xml:space="preserve">(M_W) est d’abord une échelle électrofaible ; il devient seuil lorsqu’on le lit depuis la théorie effective de Fermi.</w:t>
      </w:r>
    </w:p>
    <w:bookmarkEnd w:id="26"/>
    <w:bookmarkStart w:id="27" w:name="deuxième-cas-_"/>
    <w:p>
      <w:pPr>
        <w:pStyle w:val="Heading2"/>
      </w:pPr>
      <w:r>
        <w:t xml:space="preserve">7. Deuxième cas : (</w:t>
      </w:r>
      <w:r>
        <w:t xml:space="preserve">_{</w:t>
      </w:r>
      <w:r>
        <w:t xml:space="preserve">})</w:t>
      </w:r>
    </w:p>
    <w:p>
      <w:pPr>
        <w:pStyle w:val="FirstParagraph"/>
      </w:pPr>
      <w:r>
        <w:t xml:space="preserve">(</w:t>
      </w:r>
      <w:r>
        <w:t xml:space="preserve">_{</w:t>
      </w:r>
      <w:r>
        <w:t xml:space="preserve">}) est l’échelle caractéristique associée au flot du couplage fort.</w:t>
      </w:r>
    </w:p>
    <w:p>
      <w:pPr>
        <w:pStyle w:val="BodyText"/>
      </w:pPr>
      <w:r>
        <w:t xml:space="preserve">En QCD perturbative, les prédictions utilisent le couplage renormalisé :</w:t>
      </w:r>
    </w:p>
    <w:p>
      <w:pPr>
        <w:pStyle w:val="BodyText"/>
      </w:pPr>
      <w:r>
        <w:t xml:space="preserve">[</w:t>
      </w:r>
      <w:r>
        <w:t xml:space="preserve"> </w:t>
      </w:r>
      <w:r>
        <w:t xml:space="preserve">_s(</w:t>
      </w:r>
      <w:r>
        <w:t xml:space="preserve">_R^2)</w:t>
      </w:r>
      <w:r>
        <w:t xml:space="preserve"> </w:t>
      </w:r>
      <w:r>
        <w:t xml:space="preserve">]</w:t>
      </w:r>
    </w:p>
    <w:p>
      <w:pPr>
        <w:pStyle w:val="BodyText"/>
      </w:pPr>
      <w:r>
        <w:t xml:space="preserve">dépendant de l’échelle de renormalisation (</w:t>
      </w:r>
      <w:r>
        <w:t xml:space="preserve">_R). Le PDG rappelle que, lorsque (</w:t>
      </w:r>
      <w:r>
        <w:t xml:space="preserve">_R) est choisi proche du transfert d’impulsion (Q), (</w:t>
      </w:r>
      <w:r>
        <w:t xml:space="preserve">_s) indique la force effective de l’interaction forte dans le processus considéré. Il rappelle aussi que la liberté asymptotique vient du signe de la fonction bêta : le couplage devient faible à grands transferts d’impulsion, tandis que la théorie devient fortement couplée autour et au-dessous du GeV.</w:t>
      </w:r>
    </w:p>
    <w:p>
      <w:pPr>
        <w:pStyle w:val="BodyText"/>
      </w:pPr>
      <w:r>
        <w:t xml:space="preserve">Dans une approximation simple du groupe de renormalisation, une constante :</w:t>
      </w:r>
    </w:p>
    <w:p>
      <w:pPr>
        <w:pStyle w:val="BodyText"/>
      </w:pPr>
      <w:r>
        <w:t xml:space="preserve">[</w:t>
      </w:r>
      <w:r>
        <w:t xml:space="preserve"> </w:t>
      </w:r>
      <w:r>
        <w:t xml:space="preserve"> </w:t>
      </w:r>
      <w:r>
        <w:t xml:space="preserve">]</w:t>
      </w:r>
    </w:p>
    <w:p>
      <w:pPr>
        <w:pStyle w:val="BodyText"/>
      </w:pPr>
      <w:r>
        <w:t xml:space="preserve">apparaît comme constante d’intégration et correspond à l’échelle où le couplage perturbatif divergerait. Le PDG précise que cette valeur indique la zone où dominent les dynamiques non perturbatives, tout en notant que sa définition dépend des approximations et schémas utilisés ; pour cette raison, les déterminations modernes citent souvent (</w:t>
      </w:r>
      <w:r>
        <w:t xml:space="preserve">_s) à une échelle de référence, typiquement (M_Z), plutôt que (</w:t>
      </w:r>
      <w:r>
        <w:t xml:space="preserve">) directement.</w:t>
      </w:r>
    </w:p>
    <w:p>
      <w:pPr>
        <w:pStyle w:val="BodyText"/>
      </w:pPr>
      <w:r>
        <w:t xml:space="preserve">La question devient :</w:t>
      </w:r>
    </w:p>
    <w:p>
      <w:pPr>
        <w:pStyle w:val="BodyText"/>
      </w:pPr>
      <w:r>
        <w:t xml:space="preserve">[</w:t>
      </w:r>
      <w:r>
        <w:t xml:space="preserve"> </w:t>
      </w:r>
      <w:r>
        <w:t xml:space="preserve">_{</w:t>
      </w:r>
      <w:r>
        <w:t xml:space="preserve">}</w:t>
      </w:r>
      <w:r>
        <w:t xml:space="preserve"> </w:t>
      </w:r>
      <w:r>
        <w:t xml:space="preserve">]</w:t>
      </w:r>
    </w:p>
    <w:p>
      <w:pPr>
        <w:pStyle w:val="BodyText"/>
      </w:pPr>
      <w:r>
        <w:t xml:space="preserve">est-elle principalement une échelle, ou principalement un seuil ?</w:t>
      </w:r>
    </w:p>
    <w:bookmarkEnd w:id="27"/>
    <w:bookmarkStart w:id="28" w:name="comme-échelle"/>
    <w:p>
      <w:pPr>
        <w:pStyle w:val="Heading2"/>
      </w:pPr>
      <w:r>
        <w:t xml:space="preserve">8. (</w:t>
      </w:r>
      <w:r>
        <w:t xml:space="preserve">_{</w:t>
      </w:r>
      <w:r>
        <w:t xml:space="preserve">}) comme échelle</w:t>
      </w:r>
    </w:p>
    <w:p>
      <w:pPr>
        <w:pStyle w:val="FirstParagraph"/>
      </w:pPr>
      <w:r>
        <w:t xml:space="preserve">Comme échelle, (</w:t>
      </w:r>
      <w:r>
        <w:t xml:space="preserve">_{</w:t>
      </w:r>
      <w:r>
        <w:t xml:space="preserve">}) condense la dynamique du couplage fort.</w:t>
      </w:r>
    </w:p>
    <w:p>
      <w:pPr>
        <w:pStyle w:val="BodyText"/>
      </w:pPr>
      <w:r>
        <w:t xml:space="preserve">Elle n’est pas la masse d’une particule, mais une échelle dynamique. Elle indique que QCD produit une grandeur d’énergie caractéristique à partir du flot de renormalisation.</w:t>
      </w:r>
    </w:p>
    <w:p>
      <w:pPr>
        <w:pStyle w:val="BodyText"/>
      </w:pPr>
      <w:r>
        <w:t xml:space="preserve">Lecture principale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Fonction :</w:t>
      </w:r>
    </w:p>
    <w:p>
      <w:pPr>
        <w:pStyle w:val="BodyText"/>
      </w:pPr>
      <w:r>
        <w:t xml:space="preserve">[</w:t>
      </w:r>
      <w:r>
        <w:t xml:space="preserve"> </w:t>
      </w:r>
      <w:r>
        <w:t xml:space="preserve"> </w:t>
      </w:r>
      <w:r>
        <w:t xml:space="preserve">]</w:t>
      </w:r>
    </w:p>
    <w:p>
      <w:pPr>
        <w:pStyle w:val="BodyText"/>
      </w:pPr>
      <w:r>
        <w:t xml:space="preserve">(</w:t>
      </w:r>
      <w:r>
        <w:t xml:space="preserve">_{</w:t>
      </w:r>
      <w:r>
        <w:t xml:space="preserve">}) est donc plus qu’une limite. Elle est le nom condensé d’un comportement dynamique : le couplage fort change de régime.</w:t>
      </w:r>
    </w:p>
    <w:bookmarkEnd w:id="28"/>
    <w:bookmarkStart w:id="29" w:name="comme-seuil"/>
    <w:p>
      <w:pPr>
        <w:pStyle w:val="Heading2"/>
      </w:pPr>
      <w:r>
        <w:t xml:space="preserve">9. (</w:t>
      </w:r>
      <w:r>
        <w:t xml:space="preserve">_{</w:t>
      </w:r>
      <w:r>
        <w:t xml:space="preserve">}) comme seuil</w:t>
      </w:r>
    </w:p>
    <w:p>
      <w:pPr>
        <w:pStyle w:val="FirstParagraph"/>
      </w:pPr>
      <w:r>
        <w:t xml:space="preserve">Comme seuil, (</w:t>
      </w:r>
      <w:r>
        <w:t xml:space="preserve">_{</w:t>
      </w:r>
      <w:r>
        <w:t xml:space="preserve">}) marque l’entrée dans le régime non perturbatif.</w:t>
      </w:r>
    </w:p>
    <w:p>
      <w:pPr>
        <w:pStyle w:val="BodyText"/>
      </w:pPr>
      <w:r>
        <w:t xml:space="preserve">Au-dessus de cette région, les méthodes perturbatives peuvent être utilisées dans de nombreux processus à grand transfert d’impulsion.</w:t>
      </w:r>
    </w:p>
    <w:p>
      <w:pPr>
        <w:pStyle w:val="BodyText"/>
      </w:pPr>
      <w:r>
        <w:t xml:space="preserve">Autour et au-dessous de cette région, les quarks et gluons ne sont pas observés comme particules libres ; les hadrons sont les degrés de liberté pertinents. Le PDG rappelle que ni les quarks ni les gluons ne sont observés comme particules libres, et que les hadrons sont des combinaisons singlets de couleur.</w:t>
      </w:r>
    </w:p>
    <w:p>
      <w:pPr>
        <w:pStyle w:val="BodyText"/>
      </w:pPr>
      <w:r>
        <w:t xml:space="preserve">La fonction seuil est donc réelle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Mais cette fonction dépend encore d’une échelle dynamique plus fondamentale. Le seuil est l’usage phénoménologique de l’échelle.</w:t>
      </w:r>
    </w:p>
    <w:bookmarkEnd w:id="29"/>
    <w:bookmarkStart w:id="30" w:name="verdict-sur-_"/>
    <w:p>
      <w:pPr>
        <w:pStyle w:val="Heading2"/>
      </w:pPr>
      <w:r>
        <w:t xml:space="preserve">10. Verdict sur (</w:t>
      </w:r>
      <w:r>
        <w:t xml:space="preserve">_{</w:t>
      </w:r>
      <w:r>
        <w:t xml:space="preserve">})</w:t>
      </w:r>
    </w:p>
    <w:p>
      <w:pPr>
        <w:pStyle w:val="FirstParagraph"/>
      </w:pPr>
      <w:r>
        <w:t xml:space="preserve">(</w:t>
      </w:r>
      <w:r>
        <w:t xml:space="preserve">_{</w:t>
      </w:r>
      <w:r>
        <w:t xml:space="preserve">}) ne confirme pas Seuil comme famille autonome.</w:t>
      </w:r>
    </w:p>
    <w:p>
      <w:pPr>
        <w:pStyle w:val="BodyText"/>
      </w:pPr>
      <w:r>
        <w:t xml:space="preserve">Elle confirme plutôt que certaines échelles dynamiques possèdent une fonction seuil.</w:t>
      </w:r>
    </w:p>
    <w:p>
      <w:pPr>
        <w:pStyle w:val="BodyText"/>
      </w:pPr>
      <w:r>
        <w:t xml:space="preserve">Classement proposé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Axe</w:t>
            </w:r>
          </w:p>
        </w:tc>
        <w:tc>
          <w:tcPr/>
          <w:p>
            <w:pPr>
              <w:pStyle w:val="Compact"/>
            </w:pPr>
            <w:r>
              <w:t xml:space="preserve">Lecture pour (</w:t>
            </w:r>
            <w:r>
              <w:t xml:space="preserve">_{</w:t>
            </w:r>
            <w:r>
              <w:t xml:space="preserve">})</w:t>
            </w:r>
          </w:p>
        </w:tc>
      </w:tr>
      <w:tr>
        <w:tc>
          <w:tcPr/>
          <w:p>
            <w:pPr>
              <w:pStyle w:val="Compact"/>
            </w:pPr>
            <w:r>
              <w:t xml:space="preserve">Famille principale</w:t>
            </w:r>
          </w:p>
        </w:tc>
        <w:tc>
          <w:tcPr/>
          <w:p>
            <w:pPr>
              <w:pStyle w:val="Compact"/>
            </w:pPr>
            <w:r>
              <w:t xml:space="preserve">Échelle</w:t>
            </w:r>
          </w:p>
        </w:tc>
      </w:tr>
      <w:tr>
        <w:tc>
          <w:tcPr/>
          <w:p>
            <w:pPr>
              <w:pStyle w:val="Compact"/>
            </w:pPr>
            <w:r>
              <w:t xml:space="preserve">Sous-type principal</w:t>
            </w:r>
          </w:p>
        </w:tc>
        <w:tc>
          <w:tcPr/>
          <w:p>
            <w:pPr>
              <w:pStyle w:val="Compact"/>
            </w:pPr>
            <w:r>
              <w:t xml:space="preserve">Échelle dynamique</w:t>
            </w:r>
          </w:p>
        </w:tc>
      </w:tr>
      <w:tr>
        <w:tc>
          <w:tcPr/>
          <w:p>
            <w:pPr>
              <w:pStyle w:val="Compact"/>
            </w:pPr>
            <w:r>
              <w:t xml:space="preserve">Fonction secondaire</w:t>
            </w:r>
          </w:p>
        </w:tc>
        <w:tc>
          <w:tcPr/>
          <w:p>
            <w:pPr>
              <w:pStyle w:val="Compact"/>
            </w:pPr>
            <w:r>
              <w:t xml:space="preserve">Seuil perturbatif/non perturbatif</w:t>
            </w:r>
          </w:p>
        </w:tc>
      </w:tr>
      <w:tr>
        <w:tc>
          <w:tcPr/>
          <w:p>
            <w:pPr>
              <w:pStyle w:val="Compact"/>
            </w:pPr>
            <w:r>
              <w:t xml:space="preserve">Architecture</w:t>
            </w:r>
          </w:p>
        </w:tc>
        <w:tc>
          <w:tcPr/>
          <w:p>
            <w:pPr>
              <w:pStyle w:val="Compact"/>
            </w:pPr>
            <w:r>
              <w:t xml:space="preserve">Effective basse énergie / QCD</w:t>
            </w:r>
          </w:p>
        </w:tc>
      </w:tr>
      <w:tr>
        <w:tc>
          <w:tcPr/>
          <w:p>
            <w:pPr>
              <w:pStyle w:val="Compact"/>
            </w:pPr>
            <w:r>
              <w:t xml:space="preserve">Conclusion</w:t>
            </w:r>
          </w:p>
        </w:tc>
        <w:tc>
          <w:tcPr/>
          <w:p>
            <w:pPr>
              <w:pStyle w:val="Compact"/>
            </w:pPr>
            <w:r>
              <w:t xml:space="preserve">Seuil secondaire, non famille principale</w:t>
            </w:r>
          </w:p>
        </w:tc>
      </w:tr>
    </w:tbl>
    <w:p>
      <w:pPr>
        <w:pStyle w:val="BodyText"/>
      </w:pPr>
      <w:r>
        <w:t xml:space="preserve">Formulation :</w:t>
      </w:r>
    </w:p>
    <w:p>
      <w:pPr>
        <w:pStyle w:val="BodyText"/>
      </w:pPr>
      <w:r>
        <w:t xml:space="preserve">**(</w:t>
      </w:r>
      <w:r>
        <w:t xml:space="preserve">_{</w:t>
      </w:r>
      <w:r>
        <w:t xml:space="preserve">}) est d’abord une échelle dynamique ; elle devient seuil lorsqu’on l’utilise pour marquer la limite entre descriptions perturbatives et non perturbatives.**</w:t>
      </w:r>
    </w:p>
    <w:bookmarkEnd w:id="30"/>
    <w:bookmarkStart w:id="31" w:name="X6c5be0c419e0c683fb386eacca458a05af679eb"/>
    <w:p>
      <w:pPr>
        <w:pStyle w:val="Heading2"/>
      </w:pPr>
      <w:r>
        <w:t xml:space="preserve">11. Comparaison avec la masse absolue des neutrinos</w:t>
      </w:r>
    </w:p>
    <w:p>
      <w:pPr>
        <w:pStyle w:val="FirstParagraph"/>
      </w:pPr>
      <w:r>
        <w:t xml:space="preserve">Le contraste avec la masse absolue des neutrinos est instructif.</w:t>
      </w:r>
    </w:p>
    <w:p>
      <w:pPr>
        <w:pStyle w:val="BodyText"/>
      </w:pPr>
      <w:r>
        <w:t xml:space="preserve">Dans le cas neutrino, les oscillations donnent déjà des écarts :</w:t>
      </w:r>
    </w:p>
    <w:p>
      <w:pPr>
        <w:pStyle w:val="BodyText"/>
      </w:pPr>
      <w:r>
        <w:t xml:space="preserve">[</w:t>
      </w:r>
      <w:r>
        <w:t xml:space="preserve"> </w:t>
      </w:r>
      <w:r>
        <w:t xml:space="preserve">m^2_{21}</w:t>
      </w:r>
      <w:r>
        <w:t xml:space="preserve"> </w:t>
      </w:r>
      <w:r>
        <w:t xml:space="preserve">]</w:t>
      </w:r>
    </w:p>
    <w:p>
      <w:pPr>
        <w:pStyle w:val="BodyText"/>
      </w:pPr>
      <w:r>
        <w:t xml:space="preserve">[</w:t>
      </w:r>
      <w:r>
        <w:t xml:space="preserve"> </w:t>
      </w:r>
      <w:r>
        <w:t xml:space="preserve">m^2_{3</w:t>
      </w:r>
      <w:r>
        <w:t xml:space="preserve">}</w:t>
      </w:r>
      <w:r>
        <w:t xml:space="preserve"> </w:t>
      </w:r>
      <w:r>
        <w:t xml:space="preserve">]</w:t>
      </w:r>
    </w:p>
    <w:p>
      <w:pPr>
        <w:pStyle w:val="BodyText"/>
      </w:pPr>
      <w:r>
        <w:t xml:space="preserve">mais elles ne donnent pas l’ancrage absolu du spectre :</w:t>
      </w:r>
    </w:p>
    <w:p>
      <w:pPr>
        <w:pStyle w:val="BodyText"/>
      </w:pPr>
      <w:r>
        <w:t xml:space="preserve">[</w:t>
      </w:r>
      <w:r>
        <w:t xml:space="preserve"> </w:t>
      </w:r>
      <w:r>
        <w:t xml:space="preserve">m_1,</w:t>
      </w:r>
      <w:r>
        <w:t xml:space="preserve">m_2,</w:t>
      </w:r>
      <w:r>
        <w:t xml:space="preserve">m_3</w:t>
      </w:r>
      <w:r>
        <w:t xml:space="preserve"> </w:t>
      </w:r>
      <w:r>
        <w:t xml:space="preserve">]</w:t>
      </w:r>
    </w:p>
    <w:p>
      <w:pPr>
        <w:pStyle w:val="BodyText"/>
      </w:pPr>
      <w:r>
        <w:t xml:space="preserve">Les grandeurs :</w:t>
      </w:r>
    </w:p>
    <w:p>
      <w:pPr>
        <w:pStyle w:val="BodyText"/>
      </w:pPr>
      <w:r>
        <w:t xml:space="preserve">[</w:t>
      </w:r>
      <w:r>
        <w:t xml:space="preserve"> </w:t>
      </w:r>
      <w:r>
        <w:t xml:space="preserve">m_</w:t>
      </w:r>
      <w:r>
        <w:t xml:space="preserve"> </w:t>
      </w:r>
      <w:r>
        <w:t xml:space="preserve">]</w:t>
      </w:r>
    </w:p>
    <w:p>
      <w:pPr>
        <w:pStyle w:val="BodyText"/>
      </w:pPr>
      <w:r>
        <w:t xml:space="preserve">[</w:t>
      </w:r>
      <w:r>
        <w:t xml:space="preserve"> </w:t>
      </w:r>
      <w:r>
        <w:t xml:space="preserve">m_</w:t>
      </w:r>
      <w:r>
        <w:t xml:space="preserve"> </w:t>
      </w:r>
      <w:r>
        <w:t xml:space="preserve">]</w:t>
      </w:r>
    </w:p>
    <w:p>
      <w:pPr>
        <w:pStyle w:val="BodyText"/>
      </w:pPr>
      <w:r>
        <w:t xml:space="preserve">[</w:t>
      </w:r>
      <w:r>
        <w:t xml:space="preserve"> </w:t>
      </w:r>
      <w:r>
        <w:t xml:space="preserve">m_{</w:t>
      </w:r>
      <w:r>
        <w:t xml:space="preserve">}</w:t>
      </w:r>
      <w:r>
        <w:t xml:space="preserve"> </w:t>
      </w:r>
      <w:r>
        <w:t xml:space="preserve">]</w:t>
      </w:r>
    </w:p>
    <w:p>
      <w:pPr>
        <w:pStyle w:val="BodyText"/>
      </w:pPr>
      <w:r>
        <w:t xml:space="preserve">servent précisément à contraindre cet ancrage.</w:t>
      </w:r>
    </w:p>
    <w:p>
      <w:pPr>
        <w:pStyle w:val="BodyText"/>
      </w:pPr>
      <w:r>
        <w:t xml:space="preserve">Ici, la fonction seuil est plus centrale. Elle ne vient pas seulement comme usage secondaire d’une échelle déjà définie. Elle répond à une question spécifique :</w:t>
      </w:r>
    </w:p>
    <w:p>
      <w:pPr>
        <w:pStyle w:val="BodyText"/>
      </w:pPr>
      <w:r>
        <w:t xml:space="preserve">[</w:t>
      </w:r>
      <w:r>
        <w:t xml:space="preserve"> </w:t>
      </w:r>
      <w:r>
        <w:t xml:space="preserve"> </w:t>
      </w:r>
      <w:r>
        <w:t xml:space="preserve">]</w:t>
      </w:r>
    </w:p>
    <w:p>
      <w:pPr>
        <w:pStyle w:val="BodyText"/>
      </w:pPr>
      <w:r>
        <w:t xml:space="preserve">C’est pourquoi le cas neutrino résistait mieux comme</w:t>
      </w:r>
      <w:r>
        <w:t xml:space="preserve"> </w:t>
      </w:r>
      <w:r>
        <w:t xml:space="preserve">“seuil spectral”</w:t>
      </w:r>
      <w:r>
        <w:t xml:space="preserve">.</w:t>
      </w:r>
    </w:p>
    <w:p>
      <w:pPr>
        <w:pStyle w:val="BodyText"/>
      </w:pPr>
      <w:r>
        <w:t xml:space="preserve">Mais même ici, il faut être précis : ce n’est pas forcément une famille supérieure autonome. Cela pourrait être un sous-type de :</w:t>
      </w:r>
    </w:p>
    <w:p>
      <w:pPr>
        <w:pStyle w:val="BodyText"/>
      </w:pPr>
      <w:r>
        <w:t xml:space="preserve">[</w:t>
      </w:r>
      <w:r>
        <w:t xml:space="preserve"> </w:t>
      </w:r>
      <w:r>
        <w:t xml:space="preserve"> </w:t>
      </w:r>
      <w:r>
        <w:t xml:space="preserve">]</w:t>
      </w:r>
    </w:p>
    <w:p>
      <w:pPr>
        <w:pStyle w:val="BodyText"/>
      </w:pPr>
      <w:r>
        <w:t xml:space="preserve">ou de :</w:t>
      </w:r>
    </w:p>
    <w:p>
      <w:pPr>
        <w:pStyle w:val="BodyText"/>
      </w:pPr>
      <w:r>
        <w:t xml:space="preserve">[</w:t>
      </w:r>
      <w:r>
        <w:t xml:space="preserve"> </w:t>
      </w:r>
      <w:r>
        <w:t xml:space="preserve"> </w:t>
      </w:r>
      <w:r>
        <w:t xml:space="preserve">]</w:t>
      </w:r>
    </w:p>
    <w:bookmarkEnd w:id="31"/>
    <w:bookmarkStart w:id="32" w:name="résultat-du-test"/>
    <w:p>
      <w:pPr>
        <w:pStyle w:val="Heading2"/>
      </w:pPr>
      <w:r>
        <w:t xml:space="preserve">12. Résultat du test</w:t>
      </w:r>
    </w:p>
    <w:p>
      <w:pPr>
        <w:pStyle w:val="FirstParagraph"/>
      </w:pPr>
      <w:r>
        <w:t xml:space="preserve">Le test donne un résultat clair.</w:t>
      </w:r>
    </w:p>
    <w:p>
      <w:pPr>
        <w:pStyle w:val="BodyText"/>
      </w:pPr>
      <w:r>
        <w:t xml:space="preserve">[</w:t>
      </w:r>
      <w:r>
        <w:t xml:space="preserve"> </w:t>
      </w:r>
      <w:r>
        <w:t xml:space="preserve">M_W</w:t>
      </w:r>
      <w:r>
        <w:t xml:space="preserve"> </w:t>
      </w:r>
      <w:r>
        <w:t xml:space="preserve">]</w:t>
      </w:r>
    </w:p>
    <w:p>
      <w:pPr>
        <w:pStyle w:val="BodyText"/>
      </w:pPr>
      <w:r>
        <w:t xml:space="preserve">et :</w:t>
      </w:r>
    </w:p>
    <w:p>
      <w:pPr>
        <w:pStyle w:val="BodyText"/>
      </w:pPr>
      <w:r>
        <w:t xml:space="preserve">[</w:t>
      </w:r>
      <w:r>
        <w:t xml:space="preserve"> </w:t>
      </w:r>
      <w:r>
        <w:t xml:space="preserve">_{</w:t>
      </w:r>
      <w:r>
        <w:t xml:space="preserve">}</w:t>
      </w:r>
      <w:r>
        <w:t xml:space="preserve"> </w:t>
      </w:r>
      <w:r>
        <w:t xml:space="preserve">]</w:t>
      </w:r>
    </w:p>
    <w:p>
      <w:pPr>
        <w:pStyle w:val="BodyText"/>
      </w:pPr>
      <w:r>
        <w:t xml:space="preserve">ne valident pas Seuil comme famille supérieure autonome.</w:t>
      </w:r>
    </w:p>
    <w:p>
      <w:pPr>
        <w:pStyle w:val="BodyText"/>
      </w:pPr>
      <w:r>
        <w:t xml:space="preserve">Ils montrent que</w:t>
      </w:r>
      <w:r>
        <w:t xml:space="preserve"> </w:t>
      </w:r>
      <w:r>
        <w:t xml:space="preserve">“seuil”</w:t>
      </w:r>
      <w:r>
        <w:t xml:space="preserve"> </w:t>
      </w:r>
      <w:r>
        <w:t xml:space="preserve">est souvent une</w:t>
      </w:r>
      <w:r>
        <w:t xml:space="preserve"> </w:t>
      </w:r>
      <w:r>
        <w:rPr>
          <w:b/>
          <w:bCs/>
        </w:rPr>
        <w:t xml:space="preserve">fonction d’usage</w:t>
      </w:r>
      <w:r>
        <w:t xml:space="preserve"> </w:t>
      </w:r>
      <w:r>
        <w:t xml:space="preserve">d’une échelle.</w:t>
      </w:r>
    </w:p>
    <w:p>
      <w:pPr>
        <w:pStyle w:val="BodyText"/>
      </w:pPr>
      <w:r>
        <w:t xml:space="preserve">Dans les deux cas :</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Cela affaiblit fortement Seuil comme famille de même rang que Couplage, Échelle, Raccordement, Orientation ou Convention.</w:t>
      </w:r>
    </w:p>
    <w:bookmarkEnd w:id="32"/>
    <w:bookmarkStart w:id="33" w:name="décision-taxonomique"/>
    <w:p>
      <w:pPr>
        <w:pStyle w:val="Heading2"/>
      </w:pPr>
      <w:r>
        <w:t xml:space="preserve">13. Décision taxonomique</w:t>
      </w:r>
    </w:p>
    <w:p>
      <w:pPr>
        <w:pStyle w:val="FirstParagraph"/>
      </w:pPr>
      <w:r>
        <w:t xml:space="preserve">La décision proposée est :</w:t>
      </w:r>
    </w:p>
    <w:p>
      <w:pPr>
        <w:pStyle w:val="BodyText"/>
      </w:pPr>
      <w:r>
        <w:t xml:space="preserve">[</w:t>
      </w:r>
      <w:r>
        <w:t xml:space="preserve"> </w:t>
      </w:r>
      <w:r>
        <w:t xml:space="preserve"> </w:t>
      </w:r>
      <w:r>
        <w:t xml:space="preserve">]</w:t>
      </w:r>
    </w:p>
    <w:p>
      <w:pPr>
        <w:pStyle w:val="BodyText"/>
      </w:pPr>
      <w:r>
        <w:t xml:space="preserve">ne doit plus être une famille supérieure autonome.</w:t>
      </w:r>
    </w:p>
    <w:p>
      <w:pPr>
        <w:pStyle w:val="BodyText"/>
      </w:pPr>
      <w:r>
        <w:t xml:space="preserve">Il doit être rétrogradé en :</w:t>
      </w:r>
    </w:p>
    <w:p>
      <w:pPr>
        <w:pStyle w:val="BodyText"/>
      </w:pPr>
      <w:r>
        <w:t xml:space="preserve">[</w:t>
      </w:r>
      <w:r>
        <w:t xml:space="preserve"> </w:t>
      </w:r>
      <w:r>
        <w:t xml:space="preserve"> </w:t>
      </w:r>
      <w:r>
        <w:t xml:space="preserve">]</w:t>
      </w:r>
    </w:p>
    <w:p>
      <w:pPr>
        <w:pStyle w:val="BodyText"/>
      </w:pPr>
      <w:r>
        <w:t xml:space="preserve">ou :</w:t>
      </w:r>
    </w:p>
    <w:p>
      <w:pPr>
        <w:pStyle w:val="BodyText"/>
      </w:pPr>
      <w:r>
        <w:t xml:space="preserve">[</w:t>
      </w:r>
      <w:r>
        <w:t xml:space="preserve"> </w:t>
      </w:r>
      <w:r>
        <w:t xml:space="preserve"> </w:t>
      </w:r>
      <w:r>
        <w:t xml:space="preserve">]</w:t>
      </w:r>
    </w:p>
    <w:p>
      <w:pPr>
        <w:pStyle w:val="BodyText"/>
      </w:pPr>
      <w:r>
        <w:t xml:space="preserve">La formulation correcte devient :</w:t>
      </w:r>
    </w:p>
    <w:p>
      <w:pPr>
        <w:pStyle w:val="BodyText"/>
      </w:pPr>
      <w:r>
        <w:t xml:space="preserve">[</w:t>
      </w:r>
      <w:r>
        <w:t xml:space="preserve"> </w:t>
      </w:r>
      <w:r>
        <w:t xml:space="preserve"> </w:t>
      </w:r>
      <w:r>
        <w:t xml:space="preserve">]</w:t>
      </w:r>
    </w:p>
    <w:p>
      <w:pPr>
        <w:pStyle w:val="BodyText"/>
      </w:pPr>
      <w:r>
        <w:t xml:space="preserve">plutôt que :</w:t>
      </w:r>
    </w:p>
    <w:p>
      <w:pPr>
        <w:pStyle w:val="BodyText"/>
      </w:pPr>
      <w:r>
        <w:t xml:space="preserve">[</w:t>
      </w:r>
      <w:r>
        <w:t xml:space="preserve"> </w:t>
      </w:r>
      <w:r>
        <w:t xml:space="preserve"> </w:t>
      </w:r>
      <w:r>
        <w:t xml:space="preserve">]</w:t>
      </w:r>
    </w:p>
    <w:p>
      <w:pPr>
        <w:pStyle w:val="BodyText"/>
      </w:pPr>
      <w:r>
        <w:t xml:space="preserve">Cette fonction peut apparaître dans plusieurs familles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33"/>
    <w:bookmarkStart w:id="34" w:name="carte-révisée-de-seuil"/>
    <w:p>
      <w:pPr>
        <w:pStyle w:val="Heading2"/>
      </w:pPr>
      <w:r>
        <w:t xml:space="preserve">14. Carte révisée de Seuil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Ancien statut</w:t>
            </w:r>
          </w:p>
        </w:tc>
        <w:tc>
          <w:tcPr/>
          <w:p>
            <w:pPr>
              <w:pStyle w:val="Compact"/>
            </w:pPr>
            <w:r>
              <w:t xml:space="preserve">Nouveau statut</w:t>
            </w:r>
          </w:p>
        </w:tc>
      </w:tr>
      <w:tr>
        <w:tc>
          <w:tcPr/>
          <w:p>
            <w:pPr>
              <w:pStyle w:val="Compact"/>
            </w:pPr>
            <w:r>
              <w:t xml:space="preserve">Famille Seuil</w:t>
            </w:r>
          </w:p>
        </w:tc>
        <w:tc>
          <w:tcPr/>
          <w:p>
            <w:pPr>
              <w:pStyle w:val="Compact"/>
            </w:pPr>
            <w:r>
              <w:t xml:space="preserve">Rétrogradée</w:t>
            </w:r>
          </w:p>
        </w:tc>
      </w:tr>
      <w:tr>
        <w:tc>
          <w:tcPr/>
          <w:p>
            <w:pPr>
              <w:pStyle w:val="Compact"/>
            </w:pPr>
            <w:r>
              <w:t xml:space="preserve">Seuil spectral</w:t>
            </w:r>
          </w:p>
        </w:tc>
        <w:tc>
          <w:tcPr/>
          <w:p>
            <w:pPr>
              <w:pStyle w:val="Compact"/>
            </w:pPr>
            <w:r>
              <w:t xml:space="preserve">Sous-type de Relation / Échelle spectrale</w:t>
            </w:r>
          </w:p>
        </w:tc>
      </w:tr>
      <w:tr>
        <w:tc>
          <w:tcPr/>
          <w:p>
            <w:pPr>
              <w:pStyle w:val="Compact"/>
            </w:pPr>
            <w:r>
              <w:t xml:space="preserve">Seuil de validité effective</w:t>
            </w:r>
          </w:p>
        </w:tc>
        <w:tc>
          <w:tcPr/>
          <w:p>
            <w:pPr>
              <w:pStyle w:val="Compact"/>
            </w:pPr>
            <w:r>
              <w:t xml:space="preserve">Fonction secondaire d’une Échelle ou d’un Raccordement</w:t>
            </w:r>
          </w:p>
        </w:tc>
      </w:tr>
      <w:tr>
        <w:tc>
          <w:tcPr/>
          <w:p>
            <w:pPr>
              <w:pStyle w:val="Compact"/>
            </w:pPr>
            <w:r>
              <w:t xml:space="preserve">Seuil perturbatif/non perturbatif</w:t>
            </w:r>
          </w:p>
        </w:tc>
        <w:tc>
          <w:tcPr/>
          <w:p>
            <w:pPr>
              <w:pStyle w:val="Compact"/>
            </w:pPr>
            <w:r>
              <w:t xml:space="preserve">Fonction secondaire d’une Échelle dynamique</w:t>
            </w:r>
          </w:p>
        </w:tc>
      </w:tr>
      <w:tr>
        <w:tc>
          <w:tcPr/>
          <w:p>
            <w:pPr>
              <w:pStyle w:val="Compact"/>
            </w:pPr>
            <w:r>
              <w:t xml:space="preserve">Borne expérimentale</w:t>
            </w:r>
          </w:p>
        </w:tc>
        <w:tc>
          <w:tcPr/>
          <w:p>
            <w:pPr>
              <w:pStyle w:val="Compact"/>
            </w:pPr>
            <w:r>
              <w:t xml:space="preserve">Régime d’accès, non famille physique</w:t>
            </w:r>
          </w:p>
        </w:tc>
      </w:tr>
      <w:tr>
        <w:tc>
          <w:tcPr/>
          <w:p>
            <w:pPr>
              <w:pStyle w:val="Compact"/>
            </w:pPr>
            <w:r>
              <w:t xml:space="preserve">Masse absolue neutrino</w:t>
            </w:r>
          </w:p>
        </w:tc>
        <w:tc>
          <w:tcPr/>
          <w:p>
            <w:pPr>
              <w:pStyle w:val="Compact"/>
            </w:pPr>
            <w:r>
              <w:t xml:space="preserve">Ancrage spectral, à classer comme Relation spectrale + fonction seuil</w:t>
            </w:r>
          </w:p>
        </w:tc>
      </w:tr>
    </w:tbl>
    <w:p>
      <w:pPr>
        <w:pStyle w:val="BodyText"/>
      </w:pPr>
      <w:r>
        <w:t xml:space="preserve">La conséquence est importante :</w:t>
      </w:r>
    </w:p>
    <w:p>
      <w:pPr>
        <w:pStyle w:val="BodyText"/>
      </w:pPr>
      <w:r>
        <w:rPr>
          <w:b/>
          <w:bCs/>
        </w:rPr>
        <w:t xml:space="preserve">Seuil n’est pas supprimé ; il change de rang.</w:t>
      </w:r>
    </w:p>
    <w:bookmarkEnd w:id="34"/>
    <w:bookmarkStart w:id="35" w:name="reformulation-du-cas-neutrino"/>
    <w:p>
      <w:pPr>
        <w:pStyle w:val="Heading2"/>
      </w:pPr>
      <w:r>
        <w:t xml:space="preserve">15. Reformulation du cas neutrino</w:t>
      </w:r>
    </w:p>
    <w:p>
      <w:pPr>
        <w:pStyle w:val="FirstParagraph"/>
      </w:pPr>
      <w:r>
        <w:t xml:space="preserve">La masse absolue des neutrinos doit désormais être relue ainsi :</w:t>
      </w:r>
    </w:p>
    <w:p>
      <w:pPr>
        <w:pStyle w:val="BodyText"/>
      </w:pPr>
      <w:r>
        <w:t xml:space="preserve">Famille principale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Fonction transversale :</w:t>
      </w:r>
    </w:p>
    <w:p>
      <w:pPr>
        <w:pStyle w:val="BodyText"/>
      </w:pPr>
      <w:r>
        <w:t xml:space="preserve">[</w:t>
      </w:r>
      <w:r>
        <w:t xml:space="preserve"> </w:t>
      </w:r>
      <w:r>
        <w:t xml:space="preserve"> </w:t>
      </w:r>
      <w:r>
        <w:t xml:space="preserve">]</w:t>
      </w:r>
    </w:p>
    <w:p>
      <w:pPr>
        <w:pStyle w:val="BodyText"/>
      </w:pPr>
      <w:r>
        <w:t xml:space="preserve">Régime d’accès :</w:t>
      </w:r>
    </w:p>
    <w:p>
      <w:pPr>
        <w:pStyle w:val="BodyText"/>
      </w:pPr>
      <w:r>
        <w:t xml:space="preserve">[</w:t>
      </w:r>
      <w:r>
        <w:t xml:space="preserve"> </w:t>
      </w:r>
      <w:r>
        <w:t xml:space="preserve"> </w:t>
      </w:r>
      <w:r>
        <w:t xml:space="preserve">]</w:t>
      </w:r>
    </w:p>
    <w:p>
      <w:pPr>
        <w:pStyle w:val="BodyText"/>
      </w:pPr>
      <w:r>
        <w:t xml:space="preserve">Formulation :</w:t>
      </w:r>
    </w:p>
    <w:p>
      <w:pPr>
        <w:pStyle w:val="BodyText"/>
      </w:pPr>
      <w:r>
        <w:rPr>
          <w:b/>
          <w:bCs/>
        </w:rPr>
        <w:t xml:space="preserve">La masse absolue des neutrinos n’est pas une famille Seuil autonome ; elle est une relation spectrale d’ancrage, connue par des projections expérimentales et observationnelles distinctes.</w:t>
      </w:r>
    </w:p>
    <w:p>
      <w:pPr>
        <w:pStyle w:val="BodyText"/>
      </w:pPr>
      <w:r>
        <w:t xml:space="preserve">Cette reformulation est plus compacte.</w:t>
      </w:r>
    </w:p>
    <w:bookmarkEnd w:id="35"/>
    <w:bookmarkStart w:id="36" w:name="effet-sur-la-carte-générale"/>
    <w:p>
      <w:pPr>
        <w:pStyle w:val="Heading2"/>
      </w:pPr>
      <w:r>
        <w:t xml:space="preserve">16. Effet sur la carte générale</w:t>
      </w:r>
    </w:p>
    <w:p>
      <w:pPr>
        <w:pStyle w:val="FirstParagraph"/>
      </w:pPr>
      <w:r>
        <w:t xml:space="preserve">Les familles supérieures deviennent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La famille Seuil disparaît du niveau supérieur.</w:t>
      </w:r>
    </w:p>
    <w:p>
      <w:pPr>
        <w:pStyle w:val="BodyText"/>
      </w:pPr>
      <w:r>
        <w:t xml:space="preserve">Elle devient une fonction transversale :</w:t>
      </w:r>
    </w:p>
    <w:p>
      <w:pPr>
        <w:pStyle w:val="BodyText"/>
      </w:pPr>
      <w:r>
        <w:t xml:space="preserve">[</w:t>
      </w:r>
      <w:r>
        <w:t xml:space="preserve"> </w:t>
      </w:r>
      <w:r>
        <w:t xml:space="preserve"> </w:t>
      </w:r>
      <w:r>
        <w:t xml:space="preserve">]</w:t>
      </w:r>
    </w:p>
    <w:p>
      <w:pPr>
        <w:pStyle w:val="BodyText"/>
      </w:pPr>
      <w:r>
        <w:t xml:space="preserve">qui peut qualifier certaines grandeurs.</w:t>
      </w:r>
    </w:p>
    <w:p>
      <w:pPr>
        <w:pStyle w:val="BodyText"/>
      </w:pPr>
      <w:r>
        <w:t xml:space="preserve">Carte révisée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Famille</w:t>
            </w:r>
          </w:p>
        </w:tc>
        <w:tc>
          <w:tcPr/>
          <w:p>
            <w:pPr>
              <w:pStyle w:val="Compact"/>
            </w:pPr>
            <w:r>
              <w:t xml:space="preserve">Sous-types ou fonctions</w:t>
            </w:r>
          </w:p>
        </w:tc>
      </w:tr>
      <w:tr>
        <w:tc>
          <w:tcPr/>
          <w:p>
            <w:pPr>
              <w:pStyle w:val="Compact"/>
            </w:pPr>
            <w:r>
              <w:t xml:space="preserve">Échelle</w:t>
            </w:r>
          </w:p>
        </w:tc>
        <w:tc>
          <w:tcPr/>
          <w:p>
            <w:pPr>
              <w:pStyle w:val="Compact"/>
            </w:pPr>
            <w:r>
              <w:t xml:space="preserve">structurante, dynamique, hiérarchique, à fonction seuil</w:t>
            </w:r>
          </w:p>
        </w:tc>
      </w:tr>
      <w:tr>
        <w:tc>
          <w:tcPr/>
          <w:p>
            <w:pPr>
              <w:pStyle w:val="Compact"/>
            </w:pPr>
            <w:r>
              <w:t xml:space="preserve">Relation</w:t>
            </w:r>
          </w:p>
        </w:tc>
        <w:tc>
          <w:tcPr/>
          <w:p>
            <w:pPr>
              <w:pStyle w:val="Compact"/>
            </w:pPr>
            <w:r>
              <w:t xml:space="preserve">stratifiée, compositionnelle, spectrale, à fonction seuil</w:t>
            </w:r>
          </w:p>
        </w:tc>
      </w:tr>
      <w:tr>
        <w:tc>
          <w:tcPr/>
          <w:p>
            <w:pPr>
              <w:pStyle w:val="Compact"/>
            </w:pPr>
            <w:r>
              <w:t xml:space="preserve">Raccordement</w:t>
            </w:r>
          </w:p>
        </w:tc>
        <w:tc>
          <w:tcPr/>
          <w:p>
            <w:pPr>
              <w:pStyle w:val="Compact"/>
            </w:pPr>
            <w:r>
              <w:t xml:space="preserve">effectif, avec seuil de validité</w:t>
            </w:r>
          </w:p>
        </w:tc>
      </w:tr>
      <w:tr>
        <w:tc>
          <w:tcPr/>
          <w:p>
            <w:pPr>
              <w:pStyle w:val="Compact"/>
            </w:pPr>
            <w:r>
              <w:t xml:space="preserve">Accès expérimental</w:t>
            </w:r>
          </w:p>
        </w:tc>
        <w:tc>
          <w:tcPr/>
          <w:p>
            <w:pPr>
              <w:pStyle w:val="Compact"/>
            </w:pPr>
            <w:r>
              <w:t xml:space="preserve">borne supérieure, limite inférieure, exclusion</w:t>
            </w:r>
          </w:p>
        </w:tc>
      </w:tr>
      <w:tr>
        <w:tc>
          <w:tcPr/>
          <w:p>
            <w:pPr>
              <w:pStyle w:val="Compact"/>
            </w:pPr>
            <w:r>
              <w:t xml:space="preserve">Fonction transversale</w:t>
            </w:r>
          </w:p>
        </w:tc>
        <w:tc>
          <w:tcPr/>
          <w:p>
            <w:pPr>
              <w:pStyle w:val="Compact"/>
            </w:pPr>
            <w:r>
              <w:t xml:space="preserve">seuil, borne, ancrage, limite de validité</w:t>
            </w:r>
          </w:p>
        </w:tc>
      </w:tr>
    </w:tbl>
    <w:bookmarkEnd w:id="36"/>
    <w:bookmarkStart w:id="37" w:name="bilan-du-test"/>
    <w:p>
      <w:pPr>
        <w:pStyle w:val="Heading2"/>
      </w:pPr>
      <w:r>
        <w:t xml:space="preserve">17. Bilan du test</w:t>
      </w:r>
    </w:p>
    <w:p>
      <w:pPr>
        <w:pStyle w:val="FirstParagraph"/>
      </w:pPr>
      <w:r>
        <w:t xml:space="preserve">Le test réussit parce qu’il tranche.</w:t>
      </w:r>
    </w:p>
    <w:p>
      <w:pPr>
        <w:pStyle w:val="BodyText"/>
      </w:pPr>
      <w:r>
        <w:t xml:space="preserve">Option A était :</w:t>
      </w:r>
    </w:p>
    <w:p>
      <w:pPr>
        <w:pStyle w:val="BodyText"/>
      </w:pPr>
      <w:r>
        <w:t xml:space="preserve">[</w:t>
      </w:r>
      <w:r>
        <w:t xml:space="preserve"> </w:t>
      </w:r>
      <w:r>
        <w:t xml:space="preserve"> </w:t>
      </w:r>
      <w:r>
        <w:t xml:space="preserve">]</w:t>
      </w:r>
    </w:p>
    <w:p>
      <w:pPr>
        <w:pStyle w:val="BodyText"/>
      </w:pPr>
      <w:r>
        <w:t xml:space="preserve">Option B était :</w:t>
      </w:r>
    </w:p>
    <w:p>
      <w:pPr>
        <w:pStyle w:val="BodyText"/>
      </w:pPr>
      <w:r>
        <w:t xml:space="preserve">[</w:t>
      </w:r>
      <w:r>
        <w:t xml:space="preserve"> </w:t>
      </w:r>
      <w:r>
        <w:t xml:space="preserve"> </w:t>
      </w:r>
      <w:r>
        <w:t xml:space="preserve">]</w:t>
      </w:r>
    </w:p>
    <w:p>
      <w:pPr>
        <w:pStyle w:val="BodyText"/>
      </w:pPr>
      <w:r>
        <w:t xml:space="preserve">Le résultat soutient l’option B.</w:t>
      </w:r>
    </w:p>
    <w:p>
      <w:pPr>
        <w:pStyle w:val="BodyText"/>
      </w:pPr>
      <w:r>
        <w:t xml:space="preserve">[</w:t>
      </w:r>
      <w:r>
        <w:t xml:space="preserve"> </w:t>
      </w:r>
      <w:r>
        <w:t xml:space="preserve">M_W</w:t>
      </w:r>
      <w:r>
        <w:t xml:space="preserve"> </w:t>
      </w:r>
      <w:r>
        <w:t xml:space="preserve">]</w:t>
      </w:r>
    </w:p>
    <w:p>
      <w:pPr>
        <w:pStyle w:val="BodyText"/>
      </w:pPr>
      <w:r>
        <w:t xml:space="preserve">et :</w:t>
      </w:r>
    </w:p>
    <w:p>
      <w:pPr>
        <w:pStyle w:val="BodyText"/>
      </w:pPr>
      <w:r>
        <w:t xml:space="preserve">[</w:t>
      </w:r>
      <w:r>
        <w:t xml:space="preserve"> </w:t>
      </w:r>
      <w:r>
        <w:t xml:space="preserve">_{</w:t>
      </w:r>
      <w:r>
        <w:t xml:space="preserve">}</w:t>
      </w:r>
      <w:r>
        <w:t xml:space="preserve"> </w:t>
      </w:r>
      <w:r>
        <w:t xml:space="preserve">]</w:t>
      </w:r>
    </w:p>
    <w:p>
      <w:pPr>
        <w:pStyle w:val="BodyText"/>
      </w:pPr>
      <w:r>
        <w:t xml:space="preserve">montrent que le seuil est souvent une manière d’utiliser une échelle, non une fonction première.</w:t>
      </w:r>
    </w:p>
    <w:p>
      <w:pPr>
        <w:pStyle w:val="BodyText"/>
      </w:pPr>
      <w:r>
        <w:t xml:space="preserve">La masse absolue des neutrinos reste un cas fort, mais elle peut être mieux classée comme relation spectrale d’ancrage.</w:t>
      </w:r>
    </w:p>
    <w:bookmarkEnd w:id="37"/>
    <w:bookmarkStart w:id="38" w:name="formule-de-clôture"/>
    <w:p>
      <w:pPr>
        <w:pStyle w:val="Heading2"/>
      </w:pPr>
      <w:r>
        <w:t xml:space="preserve">18. Formule de clôture</w:t>
      </w:r>
    </w:p>
    <w:p>
      <w:pPr>
        <w:pStyle w:val="FirstParagraph"/>
      </w:pPr>
      <w:r>
        <w:t xml:space="preserve">La famille Seuil était une bonne hypothèse de classement. Le test montre qu’elle était trop haute dans la taxonomie.</w:t>
      </w:r>
    </w:p>
    <w:p>
      <w:pPr>
        <w:pStyle w:val="BodyText"/>
      </w:pPr>
      <w:r>
        <w:t xml:space="preserve">La formule de clôture est :</w:t>
      </w:r>
    </w:p>
    <w:p>
      <w:pPr>
        <w:pStyle w:val="BodyText"/>
      </w:pPr>
      <w:r>
        <w:rPr>
          <w:b/>
          <w:bCs/>
        </w:rPr>
        <w:t xml:space="preserve">Un seuil n’est pas toujours une famille de constante ; il est souvent le rôle qu’une échelle ou une relation joue lorsqu’elle marque une limite.</w:t>
      </w:r>
    </w:p>
    <w:p>
      <w:pPr>
        <w:pStyle w:val="BodyText"/>
      </w:pPr>
      <w:r>
        <w:t xml:space="preserve">Formule condensée :</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et non :</w:t>
      </w:r>
    </w:p>
    <w:p>
      <w:pPr>
        <w:pStyle w:val="BodyText"/>
      </w:pPr>
      <w:r>
        <w:t xml:space="preserve">[</w:t>
      </w:r>
      <w:r>
        <w:t xml:space="preserve"> </w:t>
      </w:r>
      <w:r>
        <w:t xml:space="preserve"> </w:t>
      </w:r>
      <w:r>
        <w:t xml:space="preserve">]</w:t>
      </w:r>
    </w:p>
    <w:bookmarkEnd w:id="38"/>
    <w:bookmarkStart w:id="39" w:name="conséquence-méthodologique"/>
    <w:p>
      <w:pPr>
        <w:pStyle w:val="Heading2"/>
      </w:pPr>
      <w:r>
        <w:t xml:space="preserve">19. Conséquence méthodologique</w:t>
      </w:r>
    </w:p>
    <w:p>
      <w:pPr>
        <w:pStyle w:val="FirstParagraph"/>
      </w:pPr>
      <w:r>
        <w:t xml:space="preserve">Le test de Seuil renforce la méthode.</w:t>
      </w:r>
    </w:p>
    <w:p>
      <w:pPr>
        <w:pStyle w:val="BodyText"/>
      </w:pPr>
      <w:r>
        <w:t xml:space="preserve">Il montre qu’une catégorie peut être utile temporairement, puis rétrogradée quand la carte gagne en compression.</w:t>
      </w:r>
    </w:p>
    <w:p>
      <w:pPr>
        <w:pStyle w:val="BodyText"/>
      </w:pPr>
      <w:r>
        <w:t xml:space="preserve">C’est un bon signe : la taxonomie ne protège pas ses premières catégories. Elle les teste.</w:t>
      </w:r>
    </w:p>
    <w:p>
      <w:pPr>
        <w:pStyle w:val="BodyText"/>
      </w:pPr>
      <w:r>
        <w:t xml:space="preserve">La prochaine carte consolidée devra donc intégrer cette révision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2026-07-09T06:32:34Z</dcterms:created>
  <dcterms:modified xsi:type="dcterms:W3CDTF">2026-07-09T06:32:34Z</dcterms:modified>
</cp:coreProperties>
</file>

<file path=docProps/custom.xml><?xml version="1.0" encoding="utf-8"?>
<Properties xmlns="http://schemas.openxmlformats.org/officeDocument/2006/custom-properties" xmlns:vt="http://schemas.openxmlformats.org/officeDocument/2006/docPropsVTypes"/>
</file>