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arte-consolidée-v0.2"/>
    <w:p>
      <w:pPr>
        <w:pStyle w:val="Heading1"/>
      </w:pPr>
      <w:r>
        <w:t xml:space="preserve">Carte consolidée v0.2</w:t>
      </w:r>
    </w:p>
    <w:bookmarkStart w:id="20" w:name="X402d83eba09e187733700c82bd9227e75d934cf"/>
    <w:p>
      <w:pPr>
        <w:pStyle w:val="Heading2"/>
      </w:pPr>
      <w:r>
        <w:t xml:space="preserve">Taxonomie des constantes effectives stabilisées après intégration du secteur neutrino</w:t>
      </w:r>
    </w:p>
    <w:bookmarkEnd w:id="20"/>
    <w:bookmarkStart w:id="21" w:name="fonction-de-cette-version"/>
    <w:p>
      <w:pPr>
        <w:pStyle w:val="Heading2"/>
      </w:pPr>
      <w:r>
        <w:t xml:space="preserve">1. Fonction de cette version</w:t>
      </w:r>
    </w:p>
    <w:p>
      <w:pPr>
        <w:pStyle w:val="FirstParagraph"/>
      </w:pPr>
      <w:r>
        <w:t xml:space="preserve">Cette version v0.2 consolide les trois premiers cycles de l’enquête. La v0.1 intégrait déjà les deux premiers cycles : constantes de couplage, masses de régime, échelles dynamiques, raccordements effectifs, mélanges de jauge et fond cosmologique. La v0.2 ajoute maintenant le secteur neutrino.</w:t>
      </w:r>
    </w:p>
    <w:p>
      <w:pPr>
        <w:pStyle w:val="BodyText"/>
      </w:pPr>
      <w:r>
        <w:t xml:space="preserve">L’ajout du troisième cycle n’est pas un simple élargissement thématique. Il modifie la carte, parce que les neutrinos introduisent des constantes dont la stabilité se manifeste dans des oscillations, des différences, des projections, des phases et des bornes expérimentales. Ce sont des constantes dont l’observabilité est relationnelle avant d’être absolue.</w:t>
      </w:r>
    </w:p>
    <w:p>
      <w:pPr>
        <w:pStyle w:val="BodyText"/>
      </w:pPr>
      <w:r>
        <w:t xml:space="preserve">La formule consolidée devient donc :</w:t>
      </w:r>
    </w:p>
    <w:p>
      <w:pPr>
        <w:pStyle w:val="BodyText"/>
      </w:pPr>
      <w:r>
        <w:rPr>
          <w:b/>
          <w:bCs/>
        </w:rPr>
        <w:t xml:space="preserve">Une constante effective stabilisée est une grandeur dont la valeur, la relation ou la fonction devient robuste dans un régime physique déterminé, en permettant de mesurer une intensité, de fixer une échelle, de différencier une structure, de raccorder deux descriptions, d’orienter un mélange, de structurer un fond, ou de stabiliser un motif oscillatoire.</w:t>
      </w:r>
    </w:p>
    <w:bookmarkEnd w:id="21"/>
    <w:bookmarkStart w:id="22" w:name="corpus-intégré"/>
    <w:p>
      <w:pPr>
        <w:pStyle w:val="Heading2"/>
      </w:pPr>
      <w:r>
        <w:t xml:space="preserve">2. Corpus intégré</w:t>
      </w:r>
    </w:p>
    <w:p>
      <w:pPr>
        <w:pStyle w:val="FirstParagraph"/>
      </w:pPr>
      <w:r>
        <w:t xml:space="preserve">Les grandeurs actuellement intégrées à la carte sont :</w:t>
      </w:r>
    </w:p>
    <w:p>
      <w:pPr>
        <w:pStyle w:val="BodyText"/>
      </w:pPr>
      <w:r>
        <w:t xml:space="preserve">[</w:t>
      </w:r>
      <w:r>
        <w:t xml:space="preserve"> </w:t>
      </w:r>
      <w:r>
        <w:t xml:space="preserve">,</w:t>
      </w:r>
      <w:r>
        <w:t xml:space="preserve">m_e,</w:t>
      </w:r>
      <w:r>
        <w:t xml:space="preserve">,</w:t>
      </w:r>
      <w:r>
        <w:rPr>
          <w:i/>
          <w:iCs/>
        </w:rPr>
        <w:t xml:space="preserve">s/</w:t>
      </w:r>
      <w:r>
        <w:t xml:space="preserve">{</w:t>
      </w:r>
      <w:r>
        <w:t xml:space="preserve">}</w:t>
      </w:r>
      <w:r>
        <w:t xml:space="preserve"> </w:t>
      </w:r>
      <w:r>
        <w:t xml:space="preserve">]</w:t>
      </w:r>
    </w:p>
    <w:p>
      <w:pPr>
        <w:pStyle w:val="BodyText"/>
      </w:pPr>
      <w:r>
        <w:t xml:space="preserve">[</w:t>
      </w:r>
      <w:r>
        <w:t xml:space="preserve"> </w:t>
      </w:r>
      <w:r>
        <w:t xml:space="preserve">v,</w:t>
      </w:r>
      <w:r>
        <w:t xml:space="preserve">y_f,</w:t>
      </w:r>
      <w:r>
        <w:rPr>
          <w:i/>
          <w:iCs/>
        </w:rPr>
        <w:t xml:space="preserve">G/M</w:t>
      </w:r>
      <w:r>
        <w:t xml:space="preserve">{</w:t>
      </w:r>
      <w:r>
        <w:t xml:space="preserve">},</w:t>
      </w:r>
      <w:r>
        <w:t xml:space="preserve">G_F,</w:t>
      </w:r>
      <w:r>
        <w:t xml:space="preserve">_W,</w:t>
      </w:r>
      <w:r>
        <w:t xml:space="preserve"> </w:t>
      </w:r>
      <w:r>
        <w:t xml:space="preserve">]</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rPr>
          <w:i/>
          <w:iCs/>
        </w:rPr>
        <w:t xml:space="preserve">{12},</w:t>
      </w:r>
      <w:r>
        <w:t xml:space="preserve">{23},</w:t>
      </w:r>
      <w:r>
        <w:rPr>
          <w:i/>
          <w:iCs/>
        </w:rPr>
        <w:t xml:space="preserve">{13},</w:t>
      </w:r>
      <w:r>
        <w:t xml:space="preserve">{</w:t>
      </w:r>
      <w:r>
        <w:t xml:space="preserve">},</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Ces grandeurs ne forment pas une classe homogène. Certaines sont sans dimension, d’autres dimensionnées ; certaines sont directement mesurées, d’autres reconstruites ; certaines sont des paramètres de théorie, d’autres des coefficients effectifs ; certaines sont bien stabilisées, d’autres seulement bornées ou en cours de détermination.</w:t>
      </w:r>
    </w:p>
    <w:p>
      <w:pPr>
        <w:pStyle w:val="BodyText"/>
      </w:pPr>
      <w:r>
        <w:t xml:space="preserve">La carte doit donc classer des</w:t>
      </w:r>
      <w:r>
        <w:t xml:space="preserve"> </w:t>
      </w:r>
      <w:r>
        <w:rPr>
          <w:b/>
          <w:bCs/>
        </w:rPr>
        <w:t xml:space="preserve">fonctions de constance</w:t>
      </w:r>
      <w:r>
        <w:t xml:space="preserve">, et non seulement des nombres.</w:t>
      </w:r>
    </w:p>
    <w:bookmarkEnd w:id="22"/>
    <w:bookmarkStart w:id="28" w:name="les-grandes-familles-après-trois-cycles"/>
    <w:p>
      <w:pPr>
        <w:pStyle w:val="Heading2"/>
      </w:pPr>
      <w:r>
        <w:t xml:space="preserve">3. Les grandes familles après trois cycles</w:t>
      </w:r>
    </w:p>
    <w:p>
      <w:pPr>
        <w:pStyle w:val="FirstParagraph"/>
      </w:pPr>
      <w:r>
        <w:t xml:space="preserve">La taxonomie peut être organisée en cinq familles principales.</w:t>
      </w:r>
    </w:p>
    <w:bookmarkStart w:id="23" w:name="X521b7b46a8987b8a4f93e567148a4899f3ae316"/>
    <w:p>
      <w:pPr>
        <w:pStyle w:val="Heading3"/>
      </w:pPr>
      <w:r>
        <w:t xml:space="preserve">Famille A — Constantes de couplage et d’intensité</w:t>
      </w:r>
    </w:p>
    <w:p>
      <w:pPr>
        <w:pStyle w:val="FirstParagraph"/>
      </w:pPr>
      <w:r>
        <w:t xml:space="preserve">Cette famille regroupe les grandeurs qui mesurent une intensité d’interaction ou un couplage dans un régime donné.</w:t>
      </w:r>
    </w:p>
    <w:p>
      <w:pPr>
        <w:pStyle w:val="BodyText"/>
      </w:pPr>
      <w:r>
        <w:t xml:space="preserve">Cas principaux :</w:t>
      </w:r>
    </w:p>
    <w:p>
      <w:pPr>
        <w:pStyle w:val="BodyText"/>
      </w:pPr>
      <w:r>
        <w:t xml:space="preserve">[</w:t>
      </w:r>
      <w:r>
        <w:t xml:space="preserve"> </w:t>
      </w:r>
      <w:r>
        <w:t xml:space="preserve">,</w:t>
      </w:r>
      <w:r>
        <w:t xml:space="preserve">_s(Q^2),</w:t>
      </w:r>
      <w:r>
        <w:t xml:space="preserve">_G(E),</w:t>
      </w:r>
      <w:r>
        <w:t xml:space="preserve">y_f</w:t>
      </w:r>
      <w:r>
        <w:t xml:space="preserve"> </w:t>
      </w:r>
      <w:r>
        <w:t xml:space="preserve">]</w:t>
      </w:r>
    </w:p>
    <w:p>
      <w:pPr>
        <w:pStyle w:val="BodyText"/>
      </w:pPr>
      <w:r>
        <w:t xml:space="preserve">Elles n’ont pas toutes le même statut. (</w:t>
      </w:r>
      <w:r>
        <w:t xml:space="preserve">) est un rapport sans dimension stabilisé dans le régime électromagnétique basse énergie. (</w:t>
      </w:r>
      <w:r>
        <w:t xml:space="preserve">_s) est un couplage courant dépendant de l’échelle. (</w:t>
      </w:r>
      <w:r>
        <w:t xml:space="preserve">_G(E)) reformule la gravitation en rapport sans dimension. Les Yukawa (y_f) sont des couplages de différenciation fermionique.</w:t>
      </w:r>
    </w:p>
    <w:bookmarkEnd w:id="23"/>
    <w:bookmarkStart w:id="24" w:name="Xd73f68528a8dae8245620031e3530e3a46802a1"/>
    <w:p>
      <w:pPr>
        <w:pStyle w:val="Heading3"/>
      </w:pPr>
      <w:r>
        <w:t xml:space="preserve">Famille B — Constantes d’échelle et de structuration</w:t>
      </w:r>
    </w:p>
    <w:p>
      <w:pPr>
        <w:pStyle w:val="FirstParagraph"/>
      </w:pPr>
      <w:r>
        <w:t xml:space="preserve">Cette famille regroupe les grandeurs qui fixent ou expriment une échelle structurante.</w:t>
      </w:r>
    </w:p>
    <w:p>
      <w:pPr>
        <w:pStyle w:val="BodyText"/>
      </w:pPr>
      <w:r>
        <w:t xml:space="preserve">Cas principaux :</w:t>
      </w:r>
    </w:p>
    <w:p>
      <w:pPr>
        <w:pStyle w:val="BodyText"/>
      </w:pPr>
      <w:r>
        <w:t xml:space="preserve">[</w:t>
      </w:r>
      <w:r>
        <w:t xml:space="preserve"> </w:t>
      </w:r>
      <w:r>
        <w:t xml:space="preserve">v,</w:t>
      </w:r>
      <w:r>
        <w:rPr>
          <w:i/>
          <w:iCs/>
        </w:rPr>
        <w:t xml:space="preserve">{</w:t>
      </w:r>
      <w:r>
        <w:rPr>
          <w:i/>
          <w:iCs/>
        </w:rPr>
        <w:t xml:space="preserve">},</w:t>
      </w:r>
      <w:r>
        <w:rPr>
          <w:i/>
          <w:iCs/>
        </w:rPr>
        <w:t xml:space="preserve">M</w:t>
      </w:r>
      <w:r>
        <w:t xml:space="preserve">{</w:t>
      </w:r>
      <w:r>
        <w:t xml:space="preserve">},</w:t>
      </w:r>
      <w:r>
        <w:t xml:space="preserve">G_F^{-1/2}</w:t>
      </w:r>
      <w:r>
        <w:t xml:space="preserve"> </w:t>
      </w:r>
      <w:r>
        <w:t xml:space="preserve">]</w:t>
      </w:r>
    </w:p>
    <w:p>
      <w:pPr>
        <w:pStyle w:val="BodyText"/>
      </w:pPr>
      <w:r>
        <w:t xml:space="preserve">Ces constantes organisent des régimes. (v) fixe l’échelle électrofaible. (</w:t>
      </w:r>
      <w:r>
        <w:rPr>
          <w:i/>
          <w:iCs/>
        </w:rPr>
        <w:t xml:space="preserve">{</w:t>
      </w:r>
      <w:r>
        <w:rPr>
          <w:i/>
          <w:iCs/>
        </w:rPr>
        <w:t xml:space="preserve">}) marque l’échelle dynamique de la QCD non perturbative. (M</w:t>
      </w:r>
      <w:r>
        <w:t xml:space="preserve">{</w:t>
      </w:r>
      <w:r>
        <w:t xml:space="preserve">}) sert d’échelle de comparaison gravitationnelle. (G_F^{-1/2}) donne accès à l’échelle faible par une constante effective basse énergie.</w:t>
      </w:r>
    </w:p>
    <w:bookmarkEnd w:id="24"/>
    <w:bookmarkStart w:id="25" w:name="Xa685c1a6d0aa02ea91f888e8e1ee23781e6f4dd"/>
    <w:p>
      <w:pPr>
        <w:pStyle w:val="Heading3"/>
      </w:pPr>
      <w:r>
        <w:t xml:space="preserve">Famille C — Constantes de relation, de raccordement et de mélange</w:t>
      </w:r>
    </w:p>
    <w:p>
      <w:pPr>
        <w:pStyle w:val="FirstParagraph"/>
      </w:pPr>
      <w:r>
        <w:t xml:space="preserve">Cette famille regroupe les grandeurs dont la fonction principale est de relier des niveaux, des bases, des champs ou des régimes.</w:t>
      </w:r>
    </w:p>
    <w:p>
      <w:pPr>
        <w:pStyle w:val="BodyText"/>
      </w:pPr>
      <w:r>
        <w:t xml:space="preserve">Cas principaux :</w:t>
      </w:r>
    </w:p>
    <w:p>
      <w:pPr>
        <w:pStyle w:val="BodyText"/>
      </w:pPr>
      <w:r>
        <w:t xml:space="preserve">[</w:t>
      </w:r>
      <w:r>
        <w:t xml:space="preserve"> </w:t>
      </w:r>
      <w:r>
        <w:t xml:space="preserve">,</w:t>
      </w:r>
      <w:r>
        <w:t xml:space="preserve">G_F,</w:t>
      </w:r>
      <w:r>
        <w:t xml:space="preserve">_W</w:t>
      </w:r>
      <w:r>
        <w:t xml:space="preserve"> </w:t>
      </w:r>
      <w:r>
        <w:t xml:space="preserve">]</w:t>
      </w:r>
    </w:p>
    <w:p>
      <w:pPr>
        <w:pStyle w:val="BodyText"/>
      </w:pPr>
      <w:r>
        <w:t xml:space="preserve">Le rapport (m_p/m_e) relie deux masses issues de régimes distincts. (G_F) raccorde l’interaction faible basse énergie au régime électrofaible complet. (</w:t>
      </w:r>
      <w:r>
        <w:t xml:space="preserve">_W) fixe l’orientation du mélange entre champs neutres électrofaibles.</w:t>
      </w:r>
    </w:p>
    <w:bookmarkEnd w:id="25"/>
    <w:bookmarkStart w:id="26" w:name="X71ec7597677ac42c0d5bf56df40b86fb184d991"/>
    <w:p>
      <w:pPr>
        <w:pStyle w:val="Heading3"/>
      </w:pPr>
      <w:r>
        <w:t xml:space="preserve">Famille D — Constantes de fond cosmologique</w:t>
      </w:r>
    </w:p>
    <w:p>
      <w:pPr>
        <w:pStyle w:val="FirstParagraph"/>
      </w:pPr>
      <w:r>
        <w:t xml:space="preserve">Cette famille regroupe les grandeurs qui structurent la dynamique globale de l’espace-temps.</w:t>
      </w:r>
    </w:p>
    <w:p>
      <w:pPr>
        <w:pStyle w:val="BodyText"/>
      </w:pPr>
      <w:r>
        <w:t xml:space="preserve">Cas principal :</w:t>
      </w:r>
    </w:p>
    <w:p>
      <w:pPr>
        <w:pStyle w:val="BodyText"/>
      </w:pPr>
      <w:r>
        <w:t xml:space="preserve">[</w:t>
      </w:r>
      <w:r>
        <w:t xml:space="preserve"> </w:t>
      </w:r>
      <w:r>
        <w:t xml:space="preserve"> </w:t>
      </w:r>
      <w:r>
        <w:t xml:space="preserve">]</w:t>
      </w:r>
    </w:p>
    <w:p>
      <w:pPr>
        <w:pStyle w:val="BodyText"/>
      </w:pPr>
      <w:r>
        <w:t xml:space="preserve">(</w:t>
      </w:r>
      <w:r>
        <w:t xml:space="preserve">) est un terme cosmologique dimensionné, interprétable comme terme géométrique, densité effective, paramètre observationnel ou problème de raccordement avec la physique du vide. Le modèle (</w:t>
      </w:r>
      <w:r>
        <w:t xml:space="preserve">)CDM reste le cadre de référence ; Planck 2018 donne notamment (</w:t>
      </w:r>
      <w:r>
        <w:rPr>
          <w:i/>
          <w:iCs/>
        </w:rPr>
        <w:t xml:space="preserve">m = 0{,}315</w:t>
      </w:r>
      <w:r>
        <w:rPr>
          <w:i/>
          <w:iCs/>
        </w:rPr>
        <w:t xml:space="preserve"> </w:t>
      </w:r>
      <w:r>
        <w:rPr>
          <w:i/>
          <w:iCs/>
        </w:rPr>
        <w:t xml:space="preserve">007), (H_0 = 67{,}4</w:t>
      </w:r>
      <w:r>
        <w:rPr>
          <w:i/>
          <w:iCs/>
        </w:rPr>
        <w:t xml:space="preserve"> </w:t>
      </w:r>
      <w:r>
        <w:rPr>
          <w:i/>
          <w:iCs/>
        </w:rPr>
        <w:t xml:space="preserve">5 </w:t>
      </w:r>
      <w:r>
        <w:rPr>
          <w:i/>
          <w:iCs/>
        </w:rPr>
        <w:t xml:space="preserve">), et une contrainte (</w:t>
      </w:r>
      <w:r>
        <w:rPr>
          <w:i/>
          <w:iCs/>
        </w:rPr>
        <w:t xml:space="preserve">m</w:t>
      </w:r>
      <w:r>
        <w:t xml:space="preserve">&lt;0{,}12 </w:t>
      </w:r>
      <w:r>
        <w:t xml:space="preserve">) en combinaison avec BAO.</w:t>
      </w:r>
    </w:p>
    <w:p>
      <w:pPr>
        <w:pStyle w:val="BodyText"/>
      </w:pPr>
      <w:r>
        <w:t xml:space="preserve">Les résultats DESI récents rendent toutefois nécessaire une prudence supplémentaire sur le statut strictement constant de l’énergie noire : les BAO restent compatibles avec (</w:t>
      </w:r>
      <w:r>
        <w:t xml:space="preserve">)CDM, mais certaines combinaisons de données favorisent des modèles à énergie noire dynamique.</w:t>
      </w:r>
    </w:p>
    <w:bookmarkEnd w:id="26"/>
    <w:bookmarkStart w:id="27" w:name="Xdda4ca607849de576617ff7674a688863e21cdb"/>
    <w:p>
      <w:pPr>
        <w:pStyle w:val="Heading3"/>
      </w:pPr>
      <w:r>
        <w:t xml:space="preserve">Famille E — Constantes oscillatoires, projectives et spectrales</w:t>
      </w:r>
    </w:p>
    <w:p>
      <w:pPr>
        <w:pStyle w:val="FirstParagraph"/>
      </w:pPr>
      <w:r>
        <w:t xml:space="preserve">Cette famille est ajoutée par le troisième cycle. Elle regroupe les grandeurs du secteur neutrino dont la stabilité apparaît dans des motifs de transition, des différences de masses, des angles de projection, des phases et des contraintes de masse absolue.</w:t>
      </w:r>
    </w:p>
    <w:p>
      <w:pPr>
        <w:pStyle w:val="BodyText"/>
      </w:pPr>
      <w:r>
        <w:t xml:space="preserve">Cas principaux :</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t xml:space="preserve"> </w:t>
      </w:r>
      <w:r>
        <w:t xml:space="preserve">]</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NuFIT 6.0 montre que (</w:t>
      </w:r>
      <w:r>
        <w:rPr>
          <w:i/>
          <w:iCs/>
        </w:rPr>
        <w:t xml:space="preserve">{12}), (</w:t>
      </w:r>
      <w:r>
        <w:t xml:space="preserve">{13}), (</w:t>
      </w:r>
      <w:r>
        <w:t xml:space="preserve">m^2_{21}) et (|</w:t>
      </w:r>
      <w:r>
        <w:t xml:space="preserve">m^2_{3</w:t>
      </w:r>
      <w:r>
        <w:t xml:space="preserve">}|) sont bien déterminés, tandis que (</w:t>
      </w:r>
      <w:r>
        <w:rPr>
          <w:i/>
          <w:iCs/>
        </w:rPr>
        <w:t xml:space="preserve">{23}), l’ordre des masses et (</w:t>
      </w:r>
      <w:r>
        <w:t xml:space="preserve">{</w:t>
      </w:r>
      <w:r>
        <w:t xml:space="preserve">}) restent moins stabilisés.</w:t>
      </w:r>
    </w:p>
    <w:bookmarkEnd w:id="27"/>
    <w:bookmarkEnd w:id="28"/>
    <w:bookmarkStart w:id="29" w:name="tableau-consolidé-des-catégories"/>
    <w:p>
      <w:pPr>
        <w:pStyle w:val="Heading2"/>
      </w:pPr>
      <w:r>
        <w:t xml:space="preserve">4. Tableau consolidé des catégories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Catégorie</w:t>
            </w:r>
          </w:p>
        </w:tc>
        <w:tc>
          <w:tcPr/>
          <w:p>
            <w:pPr>
              <w:pStyle w:val="Compact"/>
            </w:pPr>
            <w:r>
              <w:t xml:space="preserve">Définition provisoire</w:t>
            </w:r>
          </w:p>
        </w:tc>
        <w:tc>
          <w:tcPr/>
          <w:p>
            <w:pPr>
              <w:pStyle w:val="Compact"/>
            </w:pPr>
            <w:r>
              <w:t xml:space="preserve">Cas exemplaires</w:t>
            </w:r>
          </w:p>
        </w:tc>
        <w:tc>
          <w:tcPr/>
          <w:p>
            <w:pPr>
              <w:pStyle w:val="Compact"/>
            </w:pPr>
            <w:r>
              <w:t xml:space="preserve">Fonction dominante</w:t>
            </w:r>
          </w:p>
        </w:tc>
      </w:tr>
      <w:tr>
        <w:tc>
          <w:tcPr/>
          <w:p>
            <w:pPr>
              <w:pStyle w:val="Compact"/>
            </w:pPr>
            <w:r>
              <w:t xml:space="preserve">Constante de couplage stabilisé</w:t>
            </w:r>
          </w:p>
        </w:tc>
        <w:tc>
          <w:tcPr/>
          <w:p>
            <w:pPr>
              <w:pStyle w:val="Compact"/>
            </w:pPr>
            <w:r>
              <w:t xml:space="preserve">Grandeur caractérisant une interaction dans un régime donné</w:t>
            </w:r>
          </w:p>
        </w:tc>
        <w:tc>
          <w:tcPr/>
          <w:p>
            <w:pPr>
              <w:pStyle w:val="Compact"/>
            </w:pPr>
            <w:r>
              <w:t xml:space="preserve">(</w:t>
            </w:r>
            <w:r>
              <w:t xml:space="preserve">)</w:t>
            </w:r>
          </w:p>
        </w:tc>
        <w:tc>
          <w:tcPr/>
          <w:p>
            <w:pPr>
              <w:pStyle w:val="Compact"/>
            </w:pPr>
            <w:r>
              <w:t xml:space="preserve">Mesurer une intensité</w:t>
            </w:r>
          </w:p>
        </w:tc>
      </w:tr>
      <w:tr>
        <w:tc>
          <w:tcPr/>
          <w:p>
            <w:pPr>
              <w:pStyle w:val="Compact"/>
            </w:pPr>
            <w:r>
              <w:t xml:space="preserve">Constante de régime brisé</w:t>
            </w:r>
          </w:p>
        </w:tc>
        <w:tc>
          <w:tcPr/>
          <w:p>
            <w:pPr>
              <w:pStyle w:val="Compact"/>
            </w:pPr>
            <w:r>
              <w:t xml:space="preserve">Grandeur définissable après installation d’une symétrie brisée</w:t>
            </w:r>
          </w:p>
        </w:tc>
        <w:tc>
          <w:tcPr/>
          <w:p>
            <w:pPr>
              <w:pStyle w:val="Compact"/>
            </w:pPr>
            <w:r>
              <w:t xml:space="preserve">(m_e)</w:t>
            </w:r>
          </w:p>
        </w:tc>
        <w:tc>
          <w:tcPr/>
          <w:p>
            <w:pPr>
              <w:pStyle w:val="Compact"/>
            </w:pPr>
            <w:r>
              <w:t xml:space="preserve">Stabiliser une masse basse énergie</w:t>
            </w:r>
          </w:p>
        </w:tc>
      </w:tr>
      <w:tr>
        <w:tc>
          <w:tcPr/>
          <w:p>
            <w:pPr>
              <w:pStyle w:val="Compact"/>
            </w:pPr>
            <w:r>
              <w:t xml:space="preserve">Constante relationnelle stratifiée</w:t>
            </w:r>
          </w:p>
        </w:tc>
        <w:tc>
          <w:tcPr/>
          <w:p>
            <w:pPr>
              <w:pStyle w:val="Compact"/>
            </w:pPr>
            <w:r>
              <w:t xml:space="preserve">Rapport reliant plusieurs régimes physiques distincts</w:t>
            </w:r>
          </w:p>
        </w:tc>
        <w:tc>
          <w:tcPr/>
          <w:p>
            <w:pPr>
              <w:pStyle w:val="Compact"/>
            </w:pPr>
            <w:r>
              <w:t xml:space="preserve">(m_p/m_e)</w:t>
            </w:r>
          </w:p>
        </w:tc>
        <w:tc>
          <w:tcPr/>
          <w:p>
            <w:pPr>
              <w:pStyle w:val="Compact"/>
            </w:pPr>
            <w:r>
              <w:t xml:space="preserve">Condenser plusieurs couches physiques</w:t>
            </w:r>
          </w:p>
        </w:tc>
      </w:tr>
      <w:tr>
        <w:tc>
          <w:tcPr/>
          <w:p>
            <w:pPr>
              <w:pStyle w:val="Compact"/>
            </w:pPr>
            <w:r>
              <w:t xml:space="preserve">Constante d’échelle dynamique</w:t>
            </w:r>
          </w:p>
        </w:tc>
        <w:tc>
          <w:tcPr/>
          <w:p>
            <w:pPr>
              <w:pStyle w:val="Compact"/>
            </w:pPr>
            <w:r>
              <w:t xml:space="preserve">Couplage ou échelle dépendant d’un flot de renormalisation</w:t>
            </w:r>
          </w:p>
        </w:tc>
        <w:tc>
          <w:tcPr/>
          <w:p>
            <w:pPr>
              <w:pStyle w:val="Compact"/>
            </w:pPr>
            <w:r>
              <w:t xml:space="preserve">(</w:t>
            </w:r>
            <w:r>
              <w:rPr>
                <w:i/>
                <w:iCs/>
              </w:rPr>
              <w:t xml:space="preserve">s/</w:t>
            </w:r>
            <w:r>
              <w:t xml:space="preserve">{</w:t>
            </w:r>
            <w:r>
              <w:t xml:space="preserve">})</w:t>
            </w:r>
          </w:p>
        </w:tc>
        <w:tc>
          <w:tcPr/>
          <w:p>
            <w:pPr>
              <w:pStyle w:val="Compact"/>
            </w:pPr>
            <w:r>
              <w:t xml:space="preserve">Organiser un changement d’échelle</w:t>
            </w:r>
          </w:p>
        </w:tc>
      </w:tr>
      <w:tr>
        <w:tc>
          <w:tcPr/>
          <w:p>
            <w:pPr>
              <w:pStyle w:val="Compact"/>
            </w:pPr>
            <w:r>
              <w:t xml:space="preserve">Constante de régime générateur</w:t>
            </w:r>
          </w:p>
        </w:tc>
        <w:tc>
          <w:tcPr/>
          <w:p>
            <w:pPr>
              <w:pStyle w:val="Compact"/>
            </w:pPr>
            <w:r>
              <w:t xml:space="preserve">Grandeur fixant une échelle commune structurant un régime</w:t>
            </w:r>
          </w:p>
        </w:tc>
        <w:tc>
          <w:tcPr/>
          <w:p>
            <w:pPr>
              <w:pStyle w:val="Compact"/>
            </w:pPr>
            <w:r>
              <w:t xml:space="preserve">(v)</w:t>
            </w:r>
          </w:p>
        </w:tc>
        <w:tc>
          <w:tcPr/>
          <w:p>
            <w:pPr>
              <w:pStyle w:val="Compact"/>
            </w:pPr>
            <w:r>
              <w:t xml:space="preserve">Générer une architecture de masses</w:t>
            </w:r>
          </w:p>
        </w:tc>
      </w:tr>
      <w:tr>
        <w:tc>
          <w:tcPr/>
          <w:p>
            <w:pPr>
              <w:pStyle w:val="Compact"/>
            </w:pPr>
            <w:r>
              <w:t xml:space="preserve">Constante de différenciation fermionique</w:t>
            </w:r>
          </w:p>
        </w:tc>
        <w:tc>
          <w:tcPr/>
          <w:p>
            <w:pPr>
              <w:pStyle w:val="Compact"/>
            </w:pPr>
            <w:r>
              <w:t xml:space="preserve">Paramètre distribuant une échelle commune entre fermions</w:t>
            </w:r>
          </w:p>
        </w:tc>
        <w:tc>
          <w:tcPr/>
          <w:p>
            <w:pPr>
              <w:pStyle w:val="Compact"/>
            </w:pPr>
            <w:r>
              <w:t xml:space="preserve">(y_f)</w:t>
            </w:r>
          </w:p>
        </w:tc>
        <w:tc>
          <w:tcPr/>
          <w:p>
            <w:pPr>
              <w:pStyle w:val="Compact"/>
            </w:pPr>
            <w:r>
              <w:t xml:space="preserve">Différencier les masses</w:t>
            </w:r>
          </w:p>
        </w:tc>
      </w:tr>
      <w:tr>
        <w:tc>
          <w:tcPr/>
          <w:p>
            <w:pPr>
              <w:pStyle w:val="Compact"/>
            </w:pPr>
            <w:r>
              <w:t xml:space="preserve">Constante de hiérarchie d’échelle</w:t>
            </w:r>
          </w:p>
        </w:tc>
        <w:tc>
          <w:tcPr/>
          <w:p>
            <w:pPr>
              <w:pStyle w:val="Compact"/>
            </w:pPr>
            <w:r>
              <w:t xml:space="preserve">Grandeur dont le sens dépend d’un rapport à une échelle limite</w:t>
            </w:r>
          </w:p>
        </w:tc>
        <w:tc>
          <w:tcPr/>
          <w:p>
            <w:pPr>
              <w:pStyle w:val="Compact"/>
            </w:pPr>
            <w:r>
              <w:t xml:space="preserve">(</w:t>
            </w:r>
            <w:r>
              <w:rPr>
                <w:i/>
                <w:iCs/>
              </w:rPr>
              <w:t xml:space="preserve">G, M</w:t>
            </w:r>
            <w:r>
              <w:t xml:space="preserve">{</w:t>
            </w:r>
            <w:r>
              <w:t xml:space="preserve">})</w:t>
            </w:r>
          </w:p>
        </w:tc>
        <w:tc>
          <w:tcPr/>
          <w:p>
            <w:pPr>
              <w:pStyle w:val="Compact"/>
            </w:pPr>
            <w:r>
              <w:t xml:space="preserve">Hiérarchiser les régimes</w:t>
            </w:r>
          </w:p>
        </w:tc>
      </w:tr>
      <w:tr>
        <w:tc>
          <w:tcPr/>
          <w:p>
            <w:pPr>
              <w:pStyle w:val="Compact"/>
            </w:pPr>
            <w:r>
              <w:t xml:space="preserve">Constante de raccordement effectif</w:t>
            </w:r>
          </w:p>
        </w:tc>
        <w:tc>
          <w:tcPr/>
          <w:p>
            <w:pPr>
              <w:pStyle w:val="Compact"/>
            </w:pPr>
            <w:r>
              <w:t xml:space="preserve">Coefficient reliant une théorie effective à une théorie plus complète</w:t>
            </w:r>
          </w:p>
        </w:tc>
        <w:tc>
          <w:tcPr/>
          <w:p>
            <w:pPr>
              <w:pStyle w:val="Compact"/>
            </w:pPr>
            <w:r>
              <w:t xml:space="preserve">(G_F)</w:t>
            </w:r>
          </w:p>
        </w:tc>
        <w:tc>
          <w:tcPr/>
          <w:p>
            <w:pPr>
              <w:pStyle w:val="Compact"/>
            </w:pPr>
            <w:r>
              <w:t xml:space="preserve">Raccorder deux descriptions</w:t>
            </w:r>
          </w:p>
        </w:tc>
      </w:tr>
      <w:tr>
        <w:tc>
          <w:tcPr/>
          <w:p>
            <w:pPr>
              <w:pStyle w:val="Compact"/>
            </w:pPr>
            <w:r>
              <w:t xml:space="preserve">Constante de mélange de jauge</w:t>
            </w:r>
          </w:p>
        </w:tc>
        <w:tc>
          <w:tcPr/>
          <w:p>
            <w:pPr>
              <w:pStyle w:val="Compact"/>
            </w:pPr>
            <w:r>
              <w:t xml:space="preserve">Paramètre fixant l’orientation entre champs de jauge</w:t>
            </w:r>
          </w:p>
        </w:tc>
        <w:tc>
          <w:tcPr/>
          <w:p>
            <w:pPr>
              <w:pStyle w:val="Compact"/>
            </w:pPr>
            <w:r>
              <w:t xml:space="preserve">(</w:t>
            </w:r>
            <w:r>
              <w:t xml:space="preserve">_W)</w:t>
            </w:r>
          </w:p>
        </w:tc>
        <w:tc>
          <w:tcPr/>
          <w:p>
            <w:pPr>
              <w:pStyle w:val="Compact"/>
            </w:pPr>
            <w:r>
              <w:t xml:space="preserve">Orienter un mélange structurel</w:t>
            </w:r>
          </w:p>
        </w:tc>
      </w:tr>
      <w:tr>
        <w:tc>
          <w:tcPr/>
          <w:p>
            <w:pPr>
              <w:pStyle w:val="Compact"/>
            </w:pPr>
            <w:r>
              <w:t xml:space="preserve">Constante de fond cosmologique</w:t>
            </w:r>
          </w:p>
        </w:tc>
        <w:tc>
          <w:tcPr/>
          <w:p>
            <w:pPr>
              <w:pStyle w:val="Compact"/>
            </w:pPr>
            <w:r>
              <w:t xml:space="preserve">Terme uniforme associé à la dynamique globale de l’espace-temps</w:t>
            </w:r>
          </w:p>
        </w:tc>
        <w:tc>
          <w:tcPr/>
          <w:p>
            <w:pPr>
              <w:pStyle w:val="Compact"/>
            </w:pPr>
            <w:r>
              <w:t xml:space="preserve">(</w:t>
            </w:r>
            <w:r>
              <w:t xml:space="preserve">)</w:t>
            </w:r>
          </w:p>
        </w:tc>
        <w:tc>
          <w:tcPr/>
          <w:p>
            <w:pPr>
              <w:pStyle w:val="Compact"/>
            </w:pPr>
            <w:r>
              <w:t xml:space="preserve">Structurer un fond cosmologique</w:t>
            </w:r>
          </w:p>
        </w:tc>
      </w:tr>
      <w:tr>
        <w:tc>
          <w:tcPr/>
          <w:p>
            <w:pPr>
              <w:pStyle w:val="Compact"/>
            </w:pPr>
            <w:r>
              <w:t xml:space="preserve">Constante de phase oscillatoire</w:t>
            </w:r>
          </w:p>
        </w:tc>
        <w:tc>
          <w:tcPr/>
          <w:p>
            <w:pPr>
              <w:pStyle w:val="Compact"/>
            </w:pPr>
            <w:r>
              <w:t xml:space="preserve">Grandeur différentielle fixant un rythme de déphasage</w:t>
            </w:r>
          </w:p>
        </w:tc>
        <w:tc>
          <w:tcPr/>
          <w:p>
            <w:pPr>
              <w:pStyle w:val="Compact"/>
            </w:pPr>
            <w:r>
              <w:t xml:space="preserve">(</w:t>
            </w:r>
            <w:r>
              <w:t xml:space="preserve">m^2)</w:t>
            </w:r>
          </w:p>
        </w:tc>
        <w:tc>
          <w:tcPr/>
          <w:p>
            <w:pPr>
              <w:pStyle w:val="Compact"/>
            </w:pPr>
            <w:r>
              <w:t xml:space="preserve">Stabiliser une phase de propagation</w:t>
            </w:r>
          </w:p>
        </w:tc>
      </w:tr>
      <w:tr>
        <w:tc>
          <w:tcPr/>
          <w:p>
            <w:pPr>
              <w:pStyle w:val="Compact"/>
            </w:pPr>
            <w:r>
              <w:t xml:space="preserve">Constante de projection oscillatoire</w:t>
            </w:r>
          </w:p>
        </w:tc>
        <w:tc>
          <w:tcPr/>
          <w:p>
            <w:pPr>
              <w:pStyle w:val="Compact"/>
            </w:pPr>
            <w:r>
              <w:t xml:space="preserve">Angle fixant la relation entre base de saveur et base de masse</w:t>
            </w:r>
          </w:p>
        </w:tc>
        <w:tc>
          <w:tcPr/>
          <w:p>
            <w:pPr>
              <w:pStyle w:val="Compact"/>
            </w:pPr>
            <w:r>
              <w:t xml:space="preserve">(</w:t>
            </w:r>
            <w:r>
              <w:rPr>
                <w:i/>
                <w:iCs/>
              </w:rPr>
              <w:t xml:space="preserve">{12},</w:t>
            </w:r>
            <w:r>
              <w:t xml:space="preserve">{23},</w:t>
            </w:r>
            <w:r>
              <w:t xml:space="preserve">_{13})</w:t>
            </w:r>
          </w:p>
        </w:tc>
        <w:tc>
          <w:tcPr/>
          <w:p>
            <w:pPr>
              <w:pStyle w:val="Compact"/>
            </w:pPr>
            <w:r>
              <w:t xml:space="preserve">Stabiliser une géométrie de projection</w:t>
            </w:r>
          </w:p>
        </w:tc>
      </w:tr>
      <w:tr>
        <w:tc>
          <w:tcPr/>
          <w:p>
            <w:pPr>
              <w:pStyle w:val="Compact"/>
            </w:pPr>
            <w:r>
              <w:t xml:space="preserve">Constante de phase d’asymétrie</w:t>
            </w:r>
          </w:p>
        </w:tc>
        <w:tc>
          <w:tcPr/>
          <w:p>
            <w:pPr>
              <w:pStyle w:val="Compact"/>
            </w:pPr>
            <w:r>
              <w:t xml:space="preserve">Phase complexe produisant une asymétrie CP possible</w:t>
            </w:r>
          </w:p>
        </w:tc>
        <w:tc>
          <w:tcPr/>
          <w:p>
            <w:pPr>
              <w:pStyle w:val="Compact"/>
            </w:pPr>
            <w:r>
              <w:t xml:space="preserve">(</w:t>
            </w:r>
            <w:r>
              <w:t xml:space="preserve">_{</w:t>
            </w:r>
            <w:r>
              <w:t xml:space="preserve">})</w:t>
            </w:r>
          </w:p>
        </w:tc>
        <w:tc>
          <w:tcPr/>
          <w:p>
            <w:pPr>
              <w:pStyle w:val="Compact"/>
            </w:pPr>
            <w:r>
              <w:t xml:space="preserve">Stabiliser une orientation CP</w:t>
            </w:r>
          </w:p>
        </w:tc>
      </w:tr>
      <w:tr>
        <w:tc>
          <w:tcPr/>
          <w:p>
            <w:pPr>
              <w:pStyle w:val="Compact"/>
            </w:pPr>
            <w:r>
              <w:t xml:space="preserve">Constante de seuil spectral</w:t>
            </w:r>
          </w:p>
        </w:tc>
        <w:tc>
          <w:tcPr/>
          <w:p>
            <w:pPr>
              <w:pStyle w:val="Compact"/>
            </w:pPr>
            <w:r>
              <w:t xml:space="preserve">Grandeur fixant l’ancrage absolu d’un spectre</w:t>
            </w:r>
          </w:p>
        </w:tc>
        <w:tc>
          <w:tcPr/>
          <w:p>
            <w:pPr>
              <w:pStyle w:val="Compact"/>
            </w:pPr>
            <w:r>
              <w:t xml:space="preserve">(m_</w:t>
            </w:r>
            <w:r>
              <w:t xml:space="preserve">,</w:t>
            </w:r>
            <w:r>
              <w:t xml:space="preserve">m_</w:t>
            </w:r>
            <w:r>
              <w:t xml:space="preserve">,m_{</w:t>
            </w:r>
            <w:r>
              <w:t xml:space="preserve">})</w:t>
            </w:r>
          </w:p>
        </w:tc>
        <w:tc>
          <w:tcPr/>
          <w:p>
            <w:pPr>
              <w:pStyle w:val="Compact"/>
            </w:pPr>
            <w:r>
              <w:t xml:space="preserve">Fixer ou borner le niveau absolu des masses</w:t>
            </w:r>
          </w:p>
        </w:tc>
      </w:tr>
    </w:tbl>
    <w:bookmarkEnd w:id="29"/>
    <w:bookmarkStart w:id="30" w:name="ce-que-le-cycle-3-ajoute-vraiment"/>
    <w:p>
      <w:pPr>
        <w:pStyle w:val="Heading2"/>
      </w:pPr>
      <w:r>
        <w:t xml:space="preserve">5. Ce que le cycle 3 ajoute vraiment</w:t>
      </w:r>
    </w:p>
    <w:p>
      <w:pPr>
        <w:pStyle w:val="FirstParagraph"/>
      </w:pPr>
      <w:r>
        <w:t xml:space="preserve">Le troisième cycle ajoute quatre formes de constance que les deux premiers cycles ne faisaient pas apparaître aussi clairement.</w:t>
      </w:r>
    </w:p>
    <w:p>
      <w:pPr>
        <w:pStyle w:val="BodyText"/>
      </w:pPr>
      <w:r>
        <w:t xml:space="preserve">Premièrement, la</w:t>
      </w:r>
      <w:r>
        <w:t xml:space="preserve"> </w:t>
      </w:r>
      <w:r>
        <w:rPr>
          <w:b/>
          <w:bCs/>
        </w:rPr>
        <w:t xml:space="preserve">constance différentielle</w:t>
      </w:r>
      <w:r>
        <w:t xml:space="preserve">. Les (</w:t>
      </w:r>
      <w:r>
        <w:t xml:space="preserve">m^2) ne fixent pas des masses absolues ; ils fixent des écarts. Leur stabilité apparaît dans des phases d’oscillation dépendant de (L/E).</w:t>
      </w:r>
    </w:p>
    <w:p>
      <w:pPr>
        <w:pStyle w:val="BodyText"/>
      </w:pPr>
      <w:r>
        <w:t xml:space="preserve">Deuxièmement, la</w:t>
      </w:r>
      <w:r>
        <w:t xml:space="preserve"> </w:t>
      </w:r>
      <w:r>
        <w:rPr>
          <w:b/>
          <w:bCs/>
        </w:rPr>
        <w:t xml:space="preserve">constance projective</w:t>
      </w:r>
      <w:r>
        <w:t xml:space="preserve">. Les angles PMNS ne sont pas des intensités ; ils stabilisent la relation entre états de saveur et états de masse.</w:t>
      </w:r>
    </w:p>
    <w:p>
      <w:pPr>
        <w:pStyle w:val="BodyText"/>
      </w:pPr>
      <w:r>
        <w:t xml:space="preserve">Troisièmement, la</w:t>
      </w:r>
      <w:r>
        <w:t xml:space="preserve"> </w:t>
      </w:r>
      <w:r>
        <w:rPr>
          <w:b/>
          <w:bCs/>
        </w:rPr>
        <w:t xml:space="preserve">constance phasique d’asymétrie</w:t>
      </w:r>
      <w:r>
        <w:t xml:space="preserve">. (</w:t>
      </w:r>
      <w:r>
        <w:t xml:space="preserve">_{</w:t>
      </w:r>
      <w:r>
        <w:t xml:space="preserve">}) n’est ni une masse, ni un couplage, ni une échelle ; c’est une phase complexe dont l’effet est une possible différence entre oscillations de neutrinos et d’antineutrinos.</w:t>
      </w:r>
    </w:p>
    <w:p>
      <w:pPr>
        <w:pStyle w:val="BodyText"/>
      </w:pPr>
      <w:r>
        <w:t xml:space="preserve">Quatrièmement, la</w:t>
      </w:r>
      <w:r>
        <w:t xml:space="preserve"> </w:t>
      </w:r>
      <w:r>
        <w:rPr>
          <w:b/>
          <w:bCs/>
        </w:rPr>
        <w:t xml:space="preserve">constance de seuil spectral</w:t>
      </w:r>
      <w:r>
        <w:t xml:space="preserve">. La masse absolue des neutrinos n’est pas une seule observable ; elle apparaît sous trois projections : (m_</w:t>
      </w:r>
      <w:r>
        <w:t xml:space="preserve">), (</w:t>
      </w:r>
      <w:r>
        <w:t xml:space="preserve">m_</w:t>
      </w:r>
      <w:r>
        <w:t xml:space="preserve">), et (m_{</w:t>
      </w:r>
      <w:r>
        <w:t xml:space="preserve">}).</w:t>
      </w:r>
    </w:p>
    <w:p>
      <w:pPr>
        <w:pStyle w:val="BodyText"/>
      </w:pPr>
      <w:r>
        <w:t xml:space="preserve">Cette extension est importante : elle montre que la constance peut se manifester comme</w:t>
      </w:r>
      <w:r>
        <w:t xml:space="preserve"> </w:t>
      </w:r>
      <w:r>
        <w:rPr>
          <w:b/>
          <w:bCs/>
        </w:rPr>
        <w:t xml:space="preserve">motif relationnel</w:t>
      </w:r>
      <w:r>
        <w:t xml:space="preserve">, pas seulement comme valeur fixe.</w:t>
      </w:r>
    </w:p>
    <w:bookmarkEnd w:id="30"/>
    <w:bookmarkStart w:id="31" w:name="X9ce3f9507ed73fc42e0178b7aca907cfea5baf6"/>
    <w:p>
      <w:pPr>
        <w:pStyle w:val="Heading2"/>
      </w:pPr>
      <w:r>
        <w:t xml:space="preserve">6. Axe nouveau : degré de stabilisation expérimentale</w:t>
      </w:r>
    </w:p>
    <w:p>
      <w:pPr>
        <w:pStyle w:val="FirstParagraph"/>
      </w:pPr>
      <w:r>
        <w:t xml:space="preserve">Le secteur neutrino impose d’ajouter un axe qui manquait à la v0.1 : le degré de stabilisation expérimentale.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 de stabilisation</w:t>
            </w:r>
          </w:p>
        </w:tc>
        <w:tc>
          <w:tcPr/>
          <w:p>
            <w:pPr>
              <w:pStyle w:val="Compact"/>
            </w:pPr>
            <w:r>
              <w:t xml:space="preserve">Grandeurs</w:t>
            </w:r>
          </w:p>
        </w:tc>
        <w:tc>
          <w:tcPr/>
          <w:p>
            <w:pPr>
              <w:pStyle w:val="Compact"/>
            </w:pPr>
            <w:r>
              <w:t xml:space="preserve">Statut</w:t>
            </w:r>
          </w:p>
        </w:tc>
      </w:tr>
      <w:tr>
        <w:tc>
          <w:tcPr/>
          <w:p>
            <w:pPr>
              <w:pStyle w:val="Compact"/>
            </w:pPr>
            <w:r>
              <w:t xml:space="preserve">Fortement stabilisées</w:t>
            </w:r>
          </w:p>
        </w:tc>
        <w:tc>
          <w:tcPr/>
          <w:p>
            <w:pPr>
              <w:pStyle w:val="Compact"/>
            </w:pPr>
            <w:r>
              <w:t xml:space="preserve">(</w:t>
            </w:r>
            <w:r>
              <w:t xml:space="preserve">m^2_{21}), (</w:t>
            </w:r>
          </w:p>
        </w:tc>
        <w:tc>
          <w:tcPr/>
          <w:p>
            <w:pPr>
              <w:pStyle w:val="Compact"/>
            </w:pPr>
            <w:r>
              <w:t xml:space="preserve">m^2_{3</w:t>
            </w:r>
            <w:r>
              <w:t xml:space="preserve">}</w:t>
            </w:r>
          </w:p>
        </w:tc>
      </w:tr>
      <w:tr>
        <w:tc>
          <w:tcPr/>
          <w:p>
            <w:pPr>
              <w:pStyle w:val="Compact"/>
            </w:pPr>
            <w:r>
              <w:t xml:space="preserve">Partiellement stabilisée</w:t>
            </w:r>
          </w:p>
        </w:tc>
        <w:tc>
          <w:tcPr/>
          <w:p>
            <w:pPr>
              <w:pStyle w:val="Compact"/>
            </w:pPr>
            <w:r>
              <w:t xml:space="preserve">(</w:t>
            </w:r>
            <w:r>
              <w:t xml:space="preserve">_{23})</w:t>
            </w:r>
          </w:p>
        </w:tc>
        <w:tc>
          <w:tcPr/>
          <w:p>
            <w:pPr>
              <w:pStyle w:val="Compact"/>
            </w:pPr>
            <w:r>
              <w:t xml:space="preserve">Grande, proche de (45^</w:t>
            </w:r>
            <w:r>
              <w:t xml:space="preserve">), mais octant ouvert</w:t>
            </w:r>
          </w:p>
        </w:tc>
      </w:tr>
      <w:tr>
        <w:tc>
          <w:tcPr/>
          <w:p>
            <w:pPr>
              <w:pStyle w:val="Compact"/>
            </w:pPr>
            <w:r>
              <w:t xml:space="preserve">En cours de stabilisation</w:t>
            </w:r>
          </w:p>
        </w:tc>
        <w:tc>
          <w:tcPr/>
          <w:p>
            <w:pPr>
              <w:pStyle w:val="Compact"/>
            </w:pPr>
            <w:r>
              <w:t xml:space="preserve">(</w:t>
            </w:r>
            <w:r>
              <w:t xml:space="preserve">_{</w:t>
            </w:r>
            <w:r>
              <w:t xml:space="preserve">})</w:t>
            </w:r>
          </w:p>
        </w:tc>
        <w:tc>
          <w:tcPr/>
          <w:p>
            <w:pPr>
              <w:pStyle w:val="Compact"/>
            </w:pPr>
            <w:r>
              <w:t xml:space="preserve">Dépend fortement de l’ordre des masses et des jeux de données</w:t>
            </w:r>
          </w:p>
        </w:tc>
      </w:tr>
      <w:tr>
        <w:tc>
          <w:tcPr/>
          <w:p>
            <w:pPr>
              <w:pStyle w:val="Compact"/>
            </w:pPr>
            <w:r>
              <w:t xml:space="preserve">Bornées sans détection positive absolue</w:t>
            </w:r>
          </w:p>
        </w:tc>
        <w:tc>
          <w:tcPr/>
          <w:p>
            <w:pPr>
              <w:pStyle w:val="Compact"/>
            </w:pPr>
            <w:r>
              <w:t xml:space="preserve">(m_</w:t>
            </w:r>
            <w:r>
              <w:t xml:space="preserve">), (</w:t>
            </w:r>
            <w:r>
              <w:t xml:space="preserve">m_</w:t>
            </w:r>
            <w:r>
              <w:t xml:space="preserve">), (m_{</w:t>
            </w:r>
            <w:r>
              <w:t xml:space="preserve">})</w:t>
            </w:r>
          </w:p>
        </w:tc>
        <w:tc>
          <w:tcPr/>
          <w:p>
            <w:pPr>
              <w:pStyle w:val="Compact"/>
            </w:pPr>
            <w:r>
              <w:t xml:space="preserve">Contraintes supérieures ou interprétation conditionnelle</w:t>
            </w:r>
          </w:p>
        </w:tc>
      </w:tr>
      <w:tr>
        <w:tc>
          <w:tcPr/>
          <w:p>
            <w:pPr>
              <w:pStyle w:val="Compact"/>
            </w:pPr>
            <w:r>
              <w:t xml:space="preserve">Structurellement ouverte</w:t>
            </w:r>
          </w:p>
        </w:tc>
        <w:tc>
          <w:tcPr/>
          <w:p>
            <w:pPr>
              <w:pStyle w:val="Compact"/>
            </w:pPr>
            <w:r>
              <w:t xml:space="preserve">ordre des masses, masse du plus léger neutrino, nature Dirac/Majorana</w:t>
            </w:r>
          </w:p>
        </w:tc>
        <w:tc>
          <w:tcPr/>
          <w:p>
            <w:pPr>
              <w:pStyle w:val="Compact"/>
            </w:pPr>
            <w:r>
              <w:t xml:space="preserve">Questions non tranchées</w:t>
            </w:r>
          </w:p>
        </w:tc>
      </w:tr>
    </w:tbl>
    <w:p>
      <w:pPr>
        <w:pStyle w:val="BodyText"/>
      </w:pPr>
      <w:r>
        <w:t xml:space="preserve">KATRIN donne une borne directe (m_</w:t>
      </w:r>
      <w:r>
        <w:t xml:space="preserve">&lt;0{,}45 </w:t>
      </w:r>
      <w:r>
        <w:t xml:space="preserve">) à 90 % de niveau de confiance à partir de la désintégration bêta du tritium, tandis que Planck 2018 + BAO donne une borne cosmologique (</w:t>
      </w:r>
      <w:r>
        <w:t xml:space="preserve">m_</w:t>
      </w:r>
      <w:r>
        <w:t xml:space="preserve">&lt;0{,}12 </w:t>
      </w:r>
      <w:r>
        <w:t xml:space="preserve">) dans le cadre (</w:t>
      </w:r>
      <w:r>
        <w:t xml:space="preserve">)CDM. Ces deux contraintes ne portent pas sur la même grandeur effective et n’ont pas le même degré de dépendance au modèle.</w:t>
      </w:r>
    </w:p>
    <w:bookmarkEnd w:id="31"/>
    <w:bookmarkStart w:id="32" w:name="tableau-consolidé-par-fonction"/>
    <w:p>
      <w:pPr>
        <w:pStyle w:val="Heading2"/>
      </w:pPr>
      <w:r>
        <w:t xml:space="preserve">7. Tableau consolidé par fonction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 de constance</w:t>
            </w:r>
          </w:p>
        </w:tc>
        <w:tc>
          <w:tcPr/>
          <w:p>
            <w:pPr>
              <w:pStyle w:val="Compact"/>
            </w:pPr>
            <w:r>
              <w:t xml:space="preserve">Description</w:t>
            </w:r>
          </w:p>
        </w:tc>
        <w:tc>
          <w:tcPr/>
          <w:p>
            <w:pPr>
              <w:pStyle w:val="Compact"/>
            </w:pPr>
            <w:r>
              <w:t xml:space="preserve">Cas</w:t>
            </w:r>
          </w:p>
        </w:tc>
      </w:tr>
      <w:tr>
        <w:tc>
          <w:tcPr/>
          <w:p>
            <w:pPr>
              <w:pStyle w:val="Compact"/>
            </w:pPr>
            <w:r>
              <w:t xml:space="preserve">Mesurer une intensité</w:t>
            </w:r>
          </w:p>
        </w:tc>
        <w:tc>
          <w:tcPr/>
          <w:p>
            <w:pPr>
              <w:pStyle w:val="Compact"/>
            </w:pPr>
            <w:r>
              <w:t xml:space="preserve">Fixer la force relative d’une interaction dans un régime</w:t>
            </w:r>
          </w:p>
        </w:tc>
        <w:tc>
          <w:tcPr/>
          <w:p>
            <w:pPr>
              <w:pStyle w:val="Compact"/>
            </w:pPr>
            <w:r>
              <w:t xml:space="preserve">(</w:t>
            </w:r>
            <w:r>
              <w:t xml:space="preserve">)</w:t>
            </w:r>
          </w:p>
        </w:tc>
      </w:tr>
      <w:tr>
        <w:tc>
          <w:tcPr/>
          <w:p>
            <w:pPr>
              <w:pStyle w:val="Compact"/>
            </w:pPr>
            <w:r>
              <w:t xml:space="preserve">Courir avec l’échelle</w:t>
            </w:r>
          </w:p>
        </w:tc>
        <w:tc>
          <w:tcPr/>
          <w:p>
            <w:pPr>
              <w:pStyle w:val="Compact"/>
            </w:pPr>
            <w:r>
              <w:t xml:space="preserve">Dépendre d’un flot de renormalisation</w:t>
            </w:r>
          </w:p>
        </w:tc>
        <w:tc>
          <w:tcPr/>
          <w:p>
            <w:pPr>
              <w:pStyle w:val="Compact"/>
            </w:pPr>
            <w:r>
              <w:t xml:space="preserve">(</w:t>
            </w:r>
            <w:r>
              <w:t xml:space="preserve">_s)</w:t>
            </w:r>
          </w:p>
        </w:tc>
      </w:tr>
      <w:tr>
        <w:tc>
          <w:tcPr/>
          <w:p>
            <w:pPr>
              <w:pStyle w:val="Compact"/>
            </w:pPr>
            <w:r>
              <w:t xml:space="preserve">Fixer une échelle commune</w:t>
            </w:r>
          </w:p>
        </w:tc>
        <w:tc>
          <w:tcPr/>
          <w:p>
            <w:pPr>
              <w:pStyle w:val="Compact"/>
            </w:pPr>
            <w:r>
              <w:t xml:space="preserve">Donner l’échelle structurante d’un régime</w:t>
            </w:r>
          </w:p>
        </w:tc>
        <w:tc>
          <w:tcPr/>
          <w:p>
            <w:pPr>
              <w:pStyle w:val="Compact"/>
            </w:pPr>
            <w:r>
              <w:t xml:space="preserve">(v)</w:t>
            </w:r>
          </w:p>
        </w:tc>
      </w:tr>
      <w:tr>
        <w:tc>
          <w:tcPr/>
          <w:p>
            <w:pPr>
              <w:pStyle w:val="Compact"/>
            </w:pPr>
            <w:r>
              <w:t xml:space="preserve">Stabiliser une masse de régime</w:t>
            </w:r>
          </w:p>
        </w:tc>
        <w:tc>
          <w:tcPr/>
          <w:p>
            <w:pPr>
              <w:pStyle w:val="Compact"/>
            </w:pPr>
            <w:r>
              <w:t xml:space="preserve">Rendre une masse basse énergie définissable</w:t>
            </w:r>
          </w:p>
        </w:tc>
        <w:tc>
          <w:tcPr/>
          <w:p>
            <w:pPr>
              <w:pStyle w:val="Compact"/>
            </w:pPr>
            <w:r>
              <w:t xml:space="preserve">(m_e)</w:t>
            </w:r>
          </w:p>
        </w:tc>
      </w:tr>
      <w:tr>
        <w:tc>
          <w:tcPr/>
          <w:p>
            <w:pPr>
              <w:pStyle w:val="Compact"/>
            </w:pPr>
            <w:r>
              <w:t xml:space="preserve">Différencier une famille</w:t>
            </w:r>
          </w:p>
        </w:tc>
        <w:tc>
          <w:tcPr/>
          <w:p>
            <w:pPr>
              <w:pStyle w:val="Compact"/>
            </w:pPr>
            <w:r>
              <w:t xml:space="preserve">Distribuer une échelle commune entre particules</w:t>
            </w:r>
          </w:p>
        </w:tc>
        <w:tc>
          <w:tcPr/>
          <w:p>
            <w:pPr>
              <w:pStyle w:val="Compact"/>
            </w:pPr>
            <w:r>
              <w:t xml:space="preserve">(y_f)</w:t>
            </w:r>
          </w:p>
        </w:tc>
      </w:tr>
      <w:tr>
        <w:tc>
          <w:tcPr/>
          <w:p>
            <w:pPr>
              <w:pStyle w:val="Compact"/>
            </w:pPr>
            <w:r>
              <w:t xml:space="preserve">Condenser plusieurs régimes</w:t>
            </w:r>
          </w:p>
        </w:tc>
        <w:tc>
          <w:tcPr/>
          <w:p>
            <w:pPr>
              <w:pStyle w:val="Compact"/>
            </w:pPr>
            <w:r>
              <w:t xml:space="preserve">Relier des masses issues de dynamiques distinctes</w:t>
            </w:r>
          </w:p>
        </w:tc>
        <w:tc>
          <w:tcPr/>
          <w:p>
            <w:pPr>
              <w:pStyle w:val="Compact"/>
            </w:pPr>
            <w:r>
              <w:t xml:space="preserve">(m_p/m_e)</w:t>
            </w:r>
          </w:p>
        </w:tc>
      </w:tr>
      <w:tr>
        <w:tc>
          <w:tcPr/>
          <w:p>
            <w:pPr>
              <w:pStyle w:val="Compact"/>
            </w:pPr>
            <w:r>
              <w:t xml:space="preserve">Hiérarchiser les échelles</w:t>
            </w:r>
          </w:p>
        </w:tc>
        <w:tc>
          <w:tcPr/>
          <w:p>
            <w:pPr>
              <w:pStyle w:val="Compact"/>
            </w:pPr>
            <w:r>
              <w:t xml:space="preserve">Exprimer l’écart entre une échelle ordinaire et une échelle limite</w:t>
            </w:r>
          </w:p>
        </w:tc>
        <w:tc>
          <w:tcPr/>
          <w:p>
            <w:pPr>
              <w:pStyle w:val="Compact"/>
            </w:pPr>
            <w:r>
              <w:t xml:space="preserve">(</w:t>
            </w:r>
            <w:r>
              <w:rPr>
                <w:i/>
                <w:iCs/>
              </w:rPr>
              <w:t xml:space="preserve">G, M</w:t>
            </w:r>
            <w:r>
              <w:t xml:space="preserve">{</w:t>
            </w:r>
            <w:r>
              <w:t xml:space="preserve">})</w:t>
            </w:r>
          </w:p>
        </w:tc>
      </w:tr>
      <w:tr>
        <w:tc>
          <w:tcPr/>
          <w:p>
            <w:pPr>
              <w:pStyle w:val="Compact"/>
            </w:pPr>
            <w:r>
              <w:t xml:space="preserve">Raccorder deux descriptions</w:t>
            </w:r>
          </w:p>
        </w:tc>
        <w:tc>
          <w:tcPr/>
          <w:p>
            <w:pPr>
              <w:pStyle w:val="Compact"/>
            </w:pPr>
            <w:r>
              <w:t xml:space="preserve">Relier une théorie effective à une théorie plus complète</w:t>
            </w:r>
          </w:p>
        </w:tc>
        <w:tc>
          <w:tcPr/>
          <w:p>
            <w:pPr>
              <w:pStyle w:val="Compact"/>
            </w:pPr>
            <w:r>
              <w:t xml:space="preserve">(G_F)</w:t>
            </w:r>
          </w:p>
        </w:tc>
      </w:tr>
      <w:tr>
        <w:tc>
          <w:tcPr/>
          <w:p>
            <w:pPr>
              <w:pStyle w:val="Compact"/>
            </w:pPr>
            <w:r>
              <w:t xml:space="preserve">Orienter un mélange de jauge</w:t>
            </w:r>
          </w:p>
        </w:tc>
        <w:tc>
          <w:tcPr/>
          <w:p>
            <w:pPr>
              <w:pStyle w:val="Compact"/>
            </w:pPr>
            <w:r>
              <w:t xml:space="preserve">Fixer la combinaison entre champs de jauge</w:t>
            </w:r>
          </w:p>
        </w:tc>
        <w:tc>
          <w:tcPr/>
          <w:p>
            <w:pPr>
              <w:pStyle w:val="Compact"/>
            </w:pPr>
            <w:r>
              <w:t xml:space="preserve">(</w:t>
            </w:r>
            <w:r>
              <w:t xml:space="preserve">_W)</w:t>
            </w:r>
          </w:p>
        </w:tc>
      </w:tr>
      <w:tr>
        <w:tc>
          <w:tcPr/>
          <w:p>
            <w:pPr>
              <w:pStyle w:val="Compact"/>
            </w:pPr>
            <w:r>
              <w:t xml:space="preserve">Structurer un fond global</w:t>
            </w:r>
          </w:p>
        </w:tc>
        <w:tc>
          <w:tcPr/>
          <w:p>
            <w:pPr>
              <w:pStyle w:val="Compact"/>
            </w:pPr>
            <w:r>
              <w:t xml:space="preserve">Contribuer à la dynamique cosmologique de fond</w:t>
            </w:r>
          </w:p>
        </w:tc>
        <w:tc>
          <w:tcPr/>
          <w:p>
            <w:pPr>
              <w:pStyle w:val="Compact"/>
            </w:pPr>
            <w:r>
              <w:t xml:space="preserve">(</w:t>
            </w:r>
            <w:r>
              <w:t xml:space="preserve">)</w:t>
            </w:r>
          </w:p>
        </w:tc>
      </w:tr>
      <w:tr>
        <w:tc>
          <w:tcPr/>
          <w:p>
            <w:pPr>
              <w:pStyle w:val="Compact"/>
            </w:pPr>
            <w:r>
              <w:t xml:space="preserve">Stabiliser un déphasage</w:t>
            </w:r>
          </w:p>
        </w:tc>
        <w:tc>
          <w:tcPr/>
          <w:p>
            <w:pPr>
              <w:pStyle w:val="Compact"/>
            </w:pPr>
            <w:r>
              <w:t xml:space="preserve">Fixer un rythme d’oscillation</w:t>
            </w:r>
          </w:p>
        </w:tc>
        <w:tc>
          <w:tcPr/>
          <w:p>
            <w:pPr>
              <w:pStyle w:val="Compact"/>
            </w:pPr>
            <w:r>
              <w:t xml:space="preserve">(</w:t>
            </w:r>
            <w:r>
              <w:t xml:space="preserve">m^2)</w:t>
            </w:r>
          </w:p>
        </w:tc>
      </w:tr>
      <w:tr>
        <w:tc>
          <w:tcPr/>
          <w:p>
            <w:pPr>
              <w:pStyle w:val="Compact"/>
            </w:pPr>
            <w:r>
              <w:t xml:space="preserve">Stabiliser une projection</w:t>
            </w:r>
          </w:p>
        </w:tc>
        <w:tc>
          <w:tcPr/>
          <w:p>
            <w:pPr>
              <w:pStyle w:val="Compact"/>
            </w:pPr>
            <w:r>
              <w:t xml:space="preserve">Fixer la relation saveur/masse</w:t>
            </w:r>
          </w:p>
        </w:tc>
        <w:tc>
          <w:tcPr/>
          <w:p>
            <w:pPr>
              <w:pStyle w:val="Compact"/>
            </w:pPr>
            <w:r>
              <w:t xml:space="preserve">(</w:t>
            </w:r>
            <w:r>
              <w:rPr>
                <w:i/>
                <w:iCs/>
              </w:rPr>
              <w:t xml:space="preserve">{12},</w:t>
            </w:r>
            <w:r>
              <w:t xml:space="preserve">{23},</w:t>
            </w:r>
            <w:r>
              <w:t xml:space="preserve">_{13})</w:t>
            </w:r>
          </w:p>
        </w:tc>
      </w:tr>
      <w:tr>
        <w:tc>
          <w:tcPr/>
          <w:p>
            <w:pPr>
              <w:pStyle w:val="Compact"/>
            </w:pPr>
            <w:r>
              <w:t xml:space="preserve">Stabiliser une asymétrie</w:t>
            </w:r>
          </w:p>
        </w:tc>
        <w:tc>
          <w:tcPr/>
          <w:p>
            <w:pPr>
              <w:pStyle w:val="Compact"/>
            </w:pPr>
            <w:r>
              <w:t xml:space="preserve">Fixer une phase CP potentielle</w:t>
            </w:r>
          </w:p>
        </w:tc>
        <w:tc>
          <w:tcPr/>
          <w:p>
            <w:pPr>
              <w:pStyle w:val="Compact"/>
            </w:pPr>
            <w:r>
              <w:t xml:space="preserve">(</w:t>
            </w:r>
            <w:r>
              <w:t xml:space="preserve">_{</w:t>
            </w:r>
            <w:r>
              <w:t xml:space="preserve">})</w:t>
            </w:r>
          </w:p>
        </w:tc>
      </w:tr>
      <w:tr>
        <w:tc>
          <w:tcPr/>
          <w:p>
            <w:pPr>
              <w:pStyle w:val="Compact"/>
            </w:pPr>
            <w:r>
              <w:t xml:space="preserve">Ancrer un spectre</w:t>
            </w:r>
          </w:p>
        </w:tc>
        <w:tc>
          <w:tcPr/>
          <w:p>
            <w:pPr>
              <w:pStyle w:val="Compact"/>
            </w:pPr>
            <w:r>
              <w:t xml:space="preserve">Fixer ou borner l’échelle absolue des masses</w:t>
            </w:r>
          </w:p>
        </w:tc>
        <w:tc>
          <w:tcPr/>
          <w:p>
            <w:pPr>
              <w:pStyle w:val="Compact"/>
            </w:pPr>
            <w:r>
              <w:t xml:space="preserve">(m_</w:t>
            </w:r>
            <w:r>
              <w:t xml:space="preserve">,</w:t>
            </w:r>
            <w:r>
              <w:t xml:space="preserve">m_</w:t>
            </w:r>
            <w:r>
              <w:t xml:space="preserve">,m_{</w:t>
            </w:r>
            <w:r>
              <w:t xml:space="preserve">})</w:t>
            </w:r>
          </w:p>
        </w:tc>
      </w:tr>
    </w:tbl>
    <w:bookmarkEnd w:id="32"/>
    <w:bookmarkStart w:id="33" w:name="tableau-consolidé-par-type-logique"/>
    <w:p>
      <w:pPr>
        <w:pStyle w:val="Heading2"/>
      </w:pPr>
      <w:r>
        <w:t xml:space="preserve">8. Tableau consolidé par type logique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logique</w:t>
            </w:r>
          </w:p>
        </w:tc>
        <w:tc>
          <w:tcPr/>
          <w:p>
            <w:pPr>
              <w:pStyle w:val="Compact"/>
            </w:pPr>
            <w:r>
              <w:t xml:space="preserve">Description</w:t>
            </w:r>
          </w:p>
        </w:tc>
        <w:tc>
          <w:tcPr/>
          <w:p>
            <w:pPr>
              <w:pStyle w:val="Compact"/>
            </w:pPr>
            <w:r>
              <w:t xml:space="preserve">Exemples</w:t>
            </w:r>
          </w:p>
        </w:tc>
      </w:tr>
      <w:tr>
        <w:tc>
          <w:tcPr/>
          <w:p>
            <w:pPr>
              <w:pStyle w:val="Compact"/>
            </w:pPr>
            <w:r>
              <w:t xml:space="preserve">Rapport sans dimension</w:t>
            </w:r>
          </w:p>
        </w:tc>
        <w:tc>
          <w:tcPr/>
          <w:p>
            <w:pPr>
              <w:pStyle w:val="Compact"/>
            </w:pPr>
            <w:r>
              <w:t xml:space="preserve">Grandeur indépendante des unités</w:t>
            </w:r>
          </w:p>
        </w:tc>
        <w:tc>
          <w:tcPr/>
          <w:p>
            <w:pPr>
              <w:pStyle w:val="Compact"/>
            </w:pPr>
            <w:r>
              <w:t xml:space="preserve">(</w:t>
            </w:r>
            <w:r>
              <w:t xml:space="preserve">), (m_p/m_e), (y_f), (</w:t>
            </w:r>
            <w:r>
              <w:t xml:space="preserve">^2</w:t>
            </w:r>
            <w:r>
              <w:t xml:space="preserve">_W)</w:t>
            </w:r>
          </w:p>
        </w:tc>
      </w:tr>
      <w:tr>
        <w:tc>
          <w:tcPr/>
          <w:p>
            <w:pPr>
              <w:pStyle w:val="Compact"/>
            </w:pPr>
            <w:r>
              <w:t xml:space="preserve">Grandeur dimensionnée</w:t>
            </w:r>
          </w:p>
        </w:tc>
        <w:tc>
          <w:tcPr/>
          <w:p>
            <w:pPr>
              <w:pStyle w:val="Compact"/>
            </w:pPr>
            <w:r>
              <w:t xml:space="preserve">Valeur nécessitant unités, rapports ou contexte</w:t>
            </w:r>
          </w:p>
        </w:tc>
        <w:tc>
          <w:tcPr/>
          <w:p>
            <w:pPr>
              <w:pStyle w:val="Compact"/>
            </w:pPr>
            <w:r>
              <w:t xml:space="preserve">(m_e), (v), (G_F), (</w:t>
            </w:r>
            <w:r>
              <w:t xml:space="preserve">)</w:t>
            </w:r>
          </w:p>
        </w:tc>
      </w:tr>
      <w:tr>
        <w:tc>
          <w:tcPr/>
          <w:p>
            <w:pPr>
              <w:pStyle w:val="Compact"/>
            </w:pPr>
            <w:r>
              <w:t xml:space="preserve">Couplage courant</w:t>
            </w:r>
          </w:p>
        </w:tc>
        <w:tc>
          <w:tcPr/>
          <w:p>
            <w:pPr>
              <w:pStyle w:val="Compact"/>
            </w:pPr>
            <w:r>
              <w:t xml:space="preserve">Couplage dépendant de l’échelle</w:t>
            </w:r>
          </w:p>
        </w:tc>
        <w:tc>
          <w:tcPr/>
          <w:p>
            <w:pPr>
              <w:pStyle w:val="Compact"/>
            </w:pPr>
            <w:r>
              <w:t xml:space="preserve">(</w:t>
            </w:r>
            <w:r>
              <w:t xml:space="preserve">_s(Q^2)), (</w:t>
            </w:r>
            <w:r>
              <w:t xml:space="preserve">(Q^2))</w:t>
            </w:r>
          </w:p>
        </w:tc>
      </w:tr>
      <w:tr>
        <w:tc>
          <w:tcPr/>
          <w:p>
            <w:pPr>
              <w:pStyle w:val="Compact"/>
            </w:pPr>
            <w:r>
              <w:t xml:space="preserve">Échelle dynamique</w:t>
            </w:r>
          </w:p>
        </w:tc>
        <w:tc>
          <w:tcPr/>
          <w:p>
            <w:pPr>
              <w:pStyle w:val="Compact"/>
            </w:pPr>
            <w:r>
              <w:t xml:space="preserve">Échelle produite ou révélée par une dynamique</w:t>
            </w:r>
          </w:p>
        </w:tc>
        <w:tc>
          <w:tcPr/>
          <w:p>
            <w:pPr>
              <w:pStyle w:val="Compact"/>
            </w:pPr>
            <w:r>
              <w:t xml:space="preserve">(</w:t>
            </w:r>
            <w:r>
              <w:rPr>
                <w:i/>
                <w:iCs/>
              </w:rPr>
              <w:t xml:space="preserve">{</w:t>
            </w:r>
            <w:r>
              <w:rPr>
                <w:i/>
                <w:iCs/>
              </w:rPr>
              <w:t xml:space="preserve">}), (M</w:t>
            </w:r>
            <w:r>
              <w:t xml:space="preserve">{</w:t>
            </w:r>
            <w:r>
              <w:t xml:space="preserve">})</w:t>
            </w:r>
          </w:p>
        </w:tc>
      </w:tr>
      <w:tr>
        <w:tc>
          <w:tcPr/>
          <w:p>
            <w:pPr>
              <w:pStyle w:val="Compact"/>
            </w:pPr>
            <w:r>
              <w:t xml:space="preserve">Coefficient effectif</w:t>
            </w:r>
          </w:p>
        </w:tc>
        <w:tc>
          <w:tcPr/>
          <w:p>
            <w:pPr>
              <w:pStyle w:val="Compact"/>
            </w:pPr>
            <w:r>
              <w:t xml:space="preserve">Paramètre valable dans un domaine limité</w:t>
            </w:r>
          </w:p>
        </w:tc>
        <w:tc>
          <w:tcPr/>
          <w:p>
            <w:pPr>
              <w:pStyle w:val="Compact"/>
            </w:pPr>
            <w:r>
              <w:t xml:space="preserve">(G_F)</w:t>
            </w:r>
          </w:p>
        </w:tc>
      </w:tr>
      <w:tr>
        <w:tc>
          <w:tcPr/>
          <w:p>
            <w:pPr>
              <w:pStyle w:val="Compact"/>
            </w:pPr>
            <w:r>
              <w:t xml:space="preserve">Angle de mélange</w:t>
            </w:r>
          </w:p>
        </w:tc>
        <w:tc>
          <w:tcPr/>
          <w:p>
            <w:pPr>
              <w:pStyle w:val="Compact"/>
            </w:pPr>
            <w:r>
              <w:t xml:space="preserve">Paramètre d’orientation entre bases ou champs</w:t>
            </w:r>
          </w:p>
        </w:tc>
        <w:tc>
          <w:tcPr/>
          <w:p>
            <w:pPr>
              <w:pStyle w:val="Compact"/>
            </w:pPr>
            <w:r>
              <w:t xml:space="preserve">(</w:t>
            </w:r>
            <w:r>
              <w:rPr>
                <w:i/>
                <w:iCs/>
              </w:rPr>
              <w:t xml:space="preserve">W), (</w:t>
            </w:r>
            <w:r>
              <w:t xml:space="preserve">{12},</w:t>
            </w:r>
            <w:r>
              <w:rPr>
                <w:i/>
                <w:iCs/>
              </w:rPr>
              <w:t xml:space="preserve">{23},</w:t>
            </w:r>
            <w:r>
              <w:t xml:space="preserve">{13})</w:t>
            </w:r>
          </w:p>
        </w:tc>
      </w:tr>
      <w:tr>
        <w:tc>
          <w:tcPr/>
          <w:p>
            <w:pPr>
              <w:pStyle w:val="Compact"/>
            </w:pPr>
            <w:r>
              <w:t xml:space="preserve">Phase complexe</w:t>
            </w:r>
          </w:p>
        </w:tc>
        <w:tc>
          <w:tcPr/>
          <w:p>
            <w:pPr>
              <w:pStyle w:val="Compact"/>
            </w:pPr>
            <w:r>
              <w:t xml:space="preserve">Paramètre d’asymétrie ou de violation CP</w:t>
            </w:r>
          </w:p>
        </w:tc>
        <w:tc>
          <w:tcPr/>
          <w:p>
            <w:pPr>
              <w:pStyle w:val="Compact"/>
            </w:pPr>
            <w:r>
              <w:t xml:space="preserve">(</w:t>
            </w:r>
            <w:r>
              <w:t xml:space="preserve">_{</w:t>
            </w:r>
            <w:r>
              <w:t xml:space="preserve">})</w:t>
            </w:r>
          </w:p>
        </w:tc>
      </w:tr>
      <w:tr>
        <w:tc>
          <w:tcPr/>
          <w:p>
            <w:pPr>
              <w:pStyle w:val="Compact"/>
            </w:pPr>
            <w:r>
              <w:t xml:space="preserve">Différence spectrale</w:t>
            </w:r>
          </w:p>
        </w:tc>
        <w:tc>
          <w:tcPr/>
          <w:p>
            <w:pPr>
              <w:pStyle w:val="Compact"/>
            </w:pPr>
            <w:r>
              <w:t xml:space="preserve">Écart entre valeurs propres</w:t>
            </w:r>
          </w:p>
        </w:tc>
        <w:tc>
          <w:tcPr/>
          <w:p>
            <w:pPr>
              <w:pStyle w:val="Compact"/>
            </w:pPr>
            <w:r>
              <w:t xml:space="preserve">(</w:t>
            </w:r>
            <w:r>
              <w:t xml:space="preserve">m^2)</w:t>
            </w:r>
          </w:p>
        </w:tc>
      </w:tr>
      <w:tr>
        <w:tc>
          <w:tcPr/>
          <w:p>
            <w:pPr>
              <w:pStyle w:val="Compact"/>
            </w:pPr>
            <w:r>
              <w:t xml:space="preserve">Projection effective</w:t>
            </w:r>
          </w:p>
        </w:tc>
        <w:tc>
          <w:tcPr/>
          <w:p>
            <w:pPr>
              <w:pStyle w:val="Compact"/>
            </w:pPr>
            <w:r>
              <w:t xml:space="preserve">Grandeur dépendante d’un protocole d’accès</w:t>
            </w:r>
          </w:p>
        </w:tc>
        <w:tc>
          <w:tcPr/>
          <w:p>
            <w:pPr>
              <w:pStyle w:val="Compact"/>
            </w:pPr>
            <w:r>
              <w:t xml:space="preserve">(m_</w:t>
            </w:r>
            <w:r>
              <w:t xml:space="preserve">,</w:t>
            </w:r>
            <w:r>
              <w:t xml:space="preserve">m_</w:t>
            </w:r>
            <w:r>
              <w:t xml:space="preserve">,m_{</w:t>
            </w:r>
            <w:r>
              <w:t xml:space="preserve">})</w:t>
            </w:r>
          </w:p>
        </w:tc>
      </w:tr>
      <w:tr>
        <w:tc>
          <w:tcPr/>
          <w:p>
            <w:pPr>
              <w:pStyle w:val="Compact"/>
            </w:pPr>
            <w:r>
              <w:t xml:space="preserve">Terme de fond</w:t>
            </w:r>
          </w:p>
        </w:tc>
        <w:tc>
          <w:tcPr/>
          <w:p>
            <w:pPr>
              <w:pStyle w:val="Compact"/>
            </w:pPr>
            <w:r>
              <w:t xml:space="preserve">Contribution globale à une dynamique cosmologique</w:t>
            </w:r>
          </w:p>
        </w:tc>
        <w:tc>
          <w:tcPr/>
          <w:p>
            <w:pPr>
              <w:pStyle w:val="Compact"/>
            </w:pPr>
            <w:r>
              <w:t xml:space="preserve">(</w:t>
            </w:r>
            <w:r>
              <w:t xml:space="preserve">)</w:t>
            </w:r>
          </w:p>
        </w:tc>
      </w:tr>
    </w:tbl>
    <w:p>
      <w:pPr>
        <w:pStyle w:val="BodyText"/>
      </w:pPr>
      <w:r>
        <w:t xml:space="preserve">Ce tableau est probablement l’un des plus importants. Il montre que</w:t>
      </w:r>
      <w:r>
        <w:t xml:space="preserve"> </w:t>
      </w:r>
      <w:r>
        <w:t xml:space="preserve">“constante”</w:t>
      </w:r>
      <w:r>
        <w:t xml:space="preserve"> </w:t>
      </w:r>
      <w:r>
        <w:t xml:space="preserve">n’est pas un type logique unique.</w:t>
      </w:r>
    </w:p>
    <w:bookmarkEnd w:id="33"/>
    <w:bookmarkStart w:id="34" w:name="catégories-robustes-après-trois-cycles"/>
    <w:p>
      <w:pPr>
        <w:pStyle w:val="Heading2"/>
      </w:pPr>
      <w:r>
        <w:t xml:space="preserve">9. Catégories robustes après trois cycles</w:t>
      </w:r>
    </w:p>
    <w:p>
      <w:pPr>
        <w:pStyle w:val="FirstParagraph"/>
      </w:pPr>
      <w:r>
        <w:t xml:space="preserve">Les catégories qui paraissent actuellement les plus robustes sont :</w:t>
      </w:r>
    </w:p>
    <w:p>
      <w:pPr>
        <w:pStyle w:val="BodyText"/>
      </w:pPr>
      <w:r>
        <w:rPr>
          <w:b/>
          <w:bCs/>
        </w:rPr>
        <w:t xml:space="preserve">Constante d’échelle dynamique</w:t>
      </w:r>
      <w:r>
        <w:t xml:space="preserve"> </w:t>
      </w:r>
      <w:r>
        <w:t xml:space="preserve">: (</w:t>
      </w:r>
      <w:r>
        <w:rPr>
          <w:i/>
          <w:iCs/>
        </w:rPr>
        <w:t xml:space="preserve">s/</w:t>
      </w:r>
      <w:r>
        <w:t xml:space="preserve">{</w:t>
      </w:r>
      <w:r>
        <w:t xml:space="preserve">}). La dépendance d’échelle est structurelle.</w:t>
      </w:r>
    </w:p>
    <w:p>
      <w:pPr>
        <w:pStyle w:val="BodyText"/>
      </w:pPr>
      <w:r>
        <w:rPr>
          <w:b/>
          <w:bCs/>
        </w:rPr>
        <w:t xml:space="preserve">Constante de raccordement effectif</w:t>
      </w:r>
      <w:r>
        <w:t xml:space="preserve"> </w:t>
      </w:r>
      <w:r>
        <w:t xml:space="preserve">: (G_F). La distinction entre régime effectif basse énergie et théorie électrofaible complète est nette.</w:t>
      </w:r>
    </w:p>
    <w:p>
      <w:pPr>
        <w:pStyle w:val="BodyText"/>
      </w:pPr>
      <w:r>
        <w:rPr>
          <w:b/>
          <w:bCs/>
        </w:rPr>
        <w:t xml:space="preserve">Constante de mélange de jauge</w:t>
      </w:r>
      <w:r>
        <w:t xml:space="preserve"> </w:t>
      </w:r>
      <w:r>
        <w:t xml:space="preserve">: (</w:t>
      </w:r>
      <w:r>
        <w:t xml:space="preserve">_W). Le rôle d’orientation entre champs neutres est bien défini.</w:t>
      </w:r>
    </w:p>
    <w:p>
      <w:pPr>
        <w:pStyle w:val="BodyText"/>
      </w:pPr>
      <w:r>
        <w:rPr>
          <w:b/>
          <w:bCs/>
        </w:rPr>
        <w:t xml:space="preserve">Constantes de phase oscillatoire</w:t>
      </w:r>
      <w:r>
        <w:t xml:space="preserve"> </w:t>
      </w:r>
      <w:r>
        <w:t xml:space="preserve">: (</w:t>
      </w:r>
      <w:r>
        <w:t xml:space="preserve">m^2). Le lien entre différence de masses au carré et phase de propagation est propre.</w:t>
      </w:r>
    </w:p>
    <w:p>
      <w:pPr>
        <w:pStyle w:val="BodyText"/>
      </w:pPr>
      <w:r>
        <w:rPr>
          <w:b/>
          <w:bCs/>
        </w:rPr>
        <w:t xml:space="preserve">Constantes de projection oscillatoire</w:t>
      </w:r>
      <w:r>
        <w:t xml:space="preserve"> </w:t>
      </w:r>
      <w:r>
        <w:t xml:space="preserve">: angles PMNS. La relation saveur/masse est techniquement claire.</w:t>
      </w:r>
    </w:p>
    <w:p>
      <w:pPr>
        <w:pStyle w:val="BodyText"/>
      </w:pPr>
      <w:r>
        <w:rPr>
          <w:b/>
          <w:bCs/>
        </w:rPr>
        <w:t xml:space="preserve">Constante de seuil spectral</w:t>
      </w:r>
      <w:r>
        <w:t xml:space="preserve"> </w:t>
      </w:r>
      <w:r>
        <w:t xml:space="preserve">: masse absolue des neutrinos. La catégorie est conceptuellement forte, même si la valeur n’est pas encore mesurée positivement.</w:t>
      </w:r>
    </w:p>
    <w:bookmarkEnd w:id="34"/>
    <w:bookmarkStart w:id="35" w:name="catégories-à-surveiller"/>
    <w:p>
      <w:pPr>
        <w:pStyle w:val="Heading2"/>
      </w:pPr>
      <w:r>
        <w:t xml:space="preserve">10. Catégories à surveiller</w:t>
      </w:r>
    </w:p>
    <w:p>
      <w:pPr>
        <w:pStyle w:val="FirstParagraph"/>
      </w:pPr>
      <w:r>
        <w:t xml:space="preserve">Certaines catégories restent utiles, mais demandent encore un resserrement.</w:t>
      </w:r>
    </w:p>
    <w:p>
      <w:pPr>
        <w:pStyle w:val="BodyText"/>
      </w:pPr>
      <w:r>
        <w:t xml:space="preserve">La</w:t>
      </w:r>
      <w:r>
        <w:t xml:space="preserve"> </w:t>
      </w:r>
      <w:r>
        <w:rPr>
          <w:b/>
          <w:bCs/>
        </w:rPr>
        <w:t xml:space="preserve">constante de couplage stabilisé</w:t>
      </w:r>
      <w:r>
        <w:t xml:space="preserve"> </w:t>
      </w:r>
      <w:r>
        <w:t xml:space="preserve">est probablement trop générale. Elle devra être subdivisée entre couplage basse énergie, couplage courant et couplage effectif.</w:t>
      </w:r>
    </w:p>
    <w:p>
      <w:pPr>
        <w:pStyle w:val="BodyText"/>
      </w:pPr>
      <w:r>
        <w:t xml:space="preserve">La</w:t>
      </w:r>
      <w:r>
        <w:t xml:space="preserve"> </w:t>
      </w:r>
      <w:r>
        <w:rPr>
          <w:b/>
          <w:bCs/>
        </w:rPr>
        <w:t xml:space="preserve">constante de régime générateur</w:t>
      </w:r>
      <w:r>
        <w:t xml:space="preserve"> </w:t>
      </w:r>
      <w:r>
        <w:t xml:space="preserve">pourrait être renommée plus sobrement en</w:t>
      </w:r>
      <w:r>
        <w:t xml:space="preserve"> </w:t>
      </w:r>
      <w:r>
        <w:rPr>
          <w:b/>
          <w:bCs/>
        </w:rPr>
        <w:t xml:space="preserve">constante structurante de régime</w:t>
      </w:r>
      <w:r>
        <w:t xml:space="preserve">, afin d’éviter une impression trop causale.</w:t>
      </w:r>
    </w:p>
    <w:p>
      <w:pPr>
        <w:pStyle w:val="BodyText"/>
      </w:pPr>
      <w:r>
        <w:t xml:space="preserve">La</w:t>
      </w:r>
      <w:r>
        <w:t xml:space="preserve"> </w:t>
      </w:r>
      <w:r>
        <w:rPr>
          <w:b/>
          <w:bCs/>
        </w:rPr>
        <w:t xml:space="preserve">constante de différenciation fermionique</w:t>
      </w:r>
      <w:r>
        <w:t xml:space="preserve"> </w:t>
      </w:r>
      <w:r>
        <w:t xml:space="preserve">pourrait être élargie en</w:t>
      </w:r>
      <w:r>
        <w:t xml:space="preserve"> </w:t>
      </w:r>
      <w:r>
        <w:rPr>
          <w:b/>
          <w:bCs/>
        </w:rPr>
        <w:t xml:space="preserve">constante de texture</w:t>
      </w:r>
      <w:r>
        <w:t xml:space="preserve">, mais cette expression est plus technique et devra être introduite seulement si elle devient réellement nécessaire.</w:t>
      </w:r>
    </w:p>
    <w:p>
      <w:pPr>
        <w:pStyle w:val="BodyText"/>
      </w:pPr>
      <w:r>
        <w:t xml:space="preserve">La</w:t>
      </w:r>
      <w:r>
        <w:t xml:space="preserve"> </w:t>
      </w:r>
      <w:r>
        <w:rPr>
          <w:b/>
          <w:bCs/>
        </w:rPr>
        <w:t xml:space="preserve">constante de fond cosmologique</w:t>
      </w:r>
      <w:r>
        <w:t xml:space="preserve"> </w:t>
      </w:r>
      <w:r>
        <w:t xml:space="preserve">reste une catégorie indispensable, mais c’est aussi la plus ouverte. (</w:t>
      </w:r>
      <w:r>
        <w:t xml:space="preserve">) est empiriquement puissante, théoriquement problématique, et actuellement confrontée à des tests sur l’hypothèse d’une énergie noire strictement constante.</w:t>
      </w:r>
    </w:p>
    <w:p>
      <w:pPr>
        <w:pStyle w:val="BodyText"/>
      </w:pPr>
      <w:r>
        <w:t xml:space="preserve">La</w:t>
      </w:r>
      <w:r>
        <w:t xml:space="preserve"> </w:t>
      </w:r>
      <w:r>
        <w:rPr>
          <w:b/>
          <w:bCs/>
        </w:rPr>
        <w:t xml:space="preserve">constante de phase d’asymétrie oscillatoire</w:t>
      </w:r>
      <w:r>
        <w:t xml:space="preserve">, (</w:t>
      </w:r>
      <w:r>
        <w:t xml:space="preserve">_{</w:t>
      </w:r>
      <w:r>
        <w:t xml:space="preserve">}), est structurellement nécessaire dans la paramétrisation, mais expérimentalement encore en cours de stabilisation.</w:t>
      </w:r>
    </w:p>
    <w:bookmarkEnd w:id="35"/>
    <w:bookmarkStart w:id="36" w:name="nouvelle-définition-consolidée"/>
    <w:p>
      <w:pPr>
        <w:pStyle w:val="Heading2"/>
      </w:pPr>
      <w:r>
        <w:t xml:space="preserve">11. Nouvelle définition consolidée</w:t>
      </w:r>
    </w:p>
    <w:p>
      <w:pPr>
        <w:pStyle w:val="FirstParagraph"/>
      </w:pPr>
      <w:r>
        <w:t xml:space="preserve">Après trois cycles, la définition peut être formulée ainsi :</w:t>
      </w:r>
    </w:p>
    <w:p>
      <w:pPr>
        <w:pStyle w:val="BodyText"/>
      </w:pPr>
      <w:r>
        <w:rPr>
          <w:b/>
          <w:bCs/>
        </w:rPr>
        <w:t xml:space="preserve">Une constante effective stabilisée est une grandeur dont la valeur, l’écart, la relation, la phase ou la fonction devient robuste dans un régime physique déterminé, en permettant de mesurer une intensité, de fixer une échelle, de différencier une structure, de raccorder deux descriptions, d’orienter un mélange, de structurer un fond, ou de stabiliser un motif de transition.</w:t>
      </w:r>
    </w:p>
    <w:p>
      <w:pPr>
        <w:pStyle w:val="BodyText"/>
      </w:pPr>
      <w:r>
        <w:t xml:space="preserve">Cette définition est plus large que celle de la v0.1. Elle intègre désormais les constantes qui ne sont pas directement des valeurs absolues, mais des structures relationnelles d’observabilité.</w:t>
      </w:r>
    </w:p>
    <w:bookmarkEnd w:id="36"/>
    <w:bookmarkStart w:id="37" w:name="Xb9f07387b04936edc55e9a8d2eb1da9e37ea6ce"/>
    <w:p>
      <w:pPr>
        <w:pStyle w:val="Heading2"/>
      </w:pPr>
      <w:r>
        <w:t xml:space="preserve">12. Axe critique : stabilité ne signifie pas maturité égale</w:t>
      </w:r>
    </w:p>
    <w:p>
      <w:pPr>
        <w:pStyle w:val="FirstParagraph"/>
      </w:pPr>
      <w:r>
        <w:t xml:space="preserve">La v0.2 ajoute une règle importante :</w:t>
      </w:r>
    </w:p>
    <w:p>
      <w:pPr>
        <w:pStyle w:val="BodyText"/>
      </w:pPr>
      <w:r>
        <w:rPr>
          <w:b/>
          <w:bCs/>
        </w:rPr>
        <w:t xml:space="preserve">Toutes les constantes d’une même théorie ou d’un même secteur n’ont pas le même degré de stabilisation.</w:t>
      </w:r>
    </w:p>
    <w:p>
      <w:pPr>
        <w:pStyle w:val="BodyText"/>
      </w:pPr>
      <w:r>
        <w:t xml:space="preserve">Dans le secteur neutrino, par exemple :</w:t>
      </w:r>
    </w:p>
    <w:p>
      <w:pPr>
        <w:pStyle w:val="BodyText"/>
      </w:pPr>
      <w:r>
        <w:t xml:space="preserve">[</w:t>
      </w:r>
      <w:r>
        <w:t xml:space="preserve"> </w:t>
      </w:r>
      <w:r>
        <w:t xml:space="preserve">m</w:t>
      </w:r>
      <w:r>
        <w:rPr>
          <w:vertAlign w:val="superscript"/>
        </w:rPr>
        <w:t xml:space="preserve">2_{21},</w:t>
      </w:r>
      <w:r>
        <w:rPr>
          <w:vertAlign w:val="superscript"/>
        </w:rPr>
        <w:t xml:space="preserve">|</w:t>
      </w:r>
      <w:r>
        <w:rPr>
          <w:vertAlign w:val="superscript"/>
        </w:rPr>
        <w:t xml:space="preserve">m</w:t>
      </w:r>
      <w:r>
        <w:t xml:space="preserve">2_{3</w:t>
      </w:r>
      <w:r>
        <w:t xml:space="preserve">}|,</w:t>
      </w:r>
      <w:r>
        <w:rPr>
          <w:i/>
          <w:iCs/>
        </w:rPr>
        <w:t xml:space="preserve">{12},</w:t>
      </w:r>
      <w:r>
        <w:t xml:space="preserve">{13}</w:t>
      </w:r>
      <w:r>
        <w:t xml:space="preserve"> </w:t>
      </w:r>
      <w:r>
        <w:t xml:space="preserve">]</w:t>
      </w:r>
    </w:p>
    <w:p>
      <w:pPr>
        <w:pStyle w:val="BodyText"/>
      </w:pPr>
      <w:r>
        <w:t xml:space="preserve">sont bien stabilisés.</w:t>
      </w:r>
    </w:p>
    <w:p>
      <w:pPr>
        <w:pStyle w:val="BodyText"/>
      </w:pPr>
      <w:r>
        <w:t xml:space="preserve">[</w:t>
      </w:r>
      <w:r>
        <w:t xml:space="preserve"> </w:t>
      </w:r>
      <w:r>
        <w:t xml:space="preserve">_{23}</w:t>
      </w:r>
      <w:r>
        <w:t xml:space="preserve"> </w:t>
      </w:r>
      <w:r>
        <w:t xml:space="preserve">]</w:t>
      </w:r>
    </w:p>
    <w:p>
      <w:pPr>
        <w:pStyle w:val="BodyText"/>
      </w:pPr>
      <w:r>
        <w:t xml:space="preserve">est partiellement stabilisé.</w:t>
      </w:r>
    </w:p>
    <w:p>
      <w:pPr>
        <w:pStyle w:val="BodyText"/>
      </w:pPr>
      <w:r>
        <w:t xml:space="preserve">[</w:t>
      </w:r>
      <w:r>
        <w:t xml:space="preserve"> </w:t>
      </w:r>
      <w:r>
        <w:t xml:space="preserve">_{</w:t>
      </w:r>
      <w:r>
        <w:t xml:space="preserve">}</w:t>
      </w:r>
      <w:r>
        <w:t xml:space="preserve"> </w:t>
      </w:r>
      <w:r>
        <w:t xml:space="preserve">]</w:t>
      </w:r>
    </w:p>
    <w:p>
      <w:pPr>
        <w:pStyle w:val="BodyText"/>
      </w:pPr>
      <w:r>
        <w:t xml:space="preserve">est en cours de stabilisation.</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sont des projections contraintes ou bornées, mais non mesurées comme valeurs positives absolues.</w:t>
      </w:r>
    </w:p>
    <w:p>
      <w:pPr>
        <w:pStyle w:val="BodyText"/>
      </w:pPr>
      <w:r>
        <w:t xml:space="preserve">Cette distinction doit devenir permanente dans la méthode.</w:t>
      </w:r>
    </w:p>
    <w:bookmarkEnd w:id="37"/>
    <w:bookmarkStart w:id="38" w:name="Xa0b329f2b188ff6255c7ecf7f316d1518505fc9"/>
    <w:p>
      <w:pPr>
        <w:pStyle w:val="Heading2"/>
      </w:pPr>
      <w:r>
        <w:t xml:space="preserve">13. Axe critique : constante ne signifie pas accès direct</w:t>
      </w:r>
    </w:p>
    <w:p>
      <w:pPr>
        <w:pStyle w:val="FirstParagraph"/>
      </w:pPr>
      <w:r>
        <w:t xml:space="preserve">La v0.2 rend aussi visible une autre règle :</w:t>
      </w:r>
    </w:p>
    <w:p>
      <w:pPr>
        <w:pStyle w:val="BodyText"/>
      </w:pPr>
      <w:r>
        <w:rPr>
          <w:b/>
          <w:bCs/>
        </w:rPr>
        <w:t xml:space="preserve">Une constante peut être robuste sans être directement accessible.</w:t>
      </w:r>
    </w:p>
    <w:p>
      <w:pPr>
        <w:pStyle w:val="BodyText"/>
      </w:pPr>
      <w:r>
        <w:t xml:space="preserve">Les (</w:t>
      </w:r>
      <w:r>
        <w:t xml:space="preserve">m^2) sont inférés à travers des motifs d’oscillation.</w:t>
      </w:r>
    </w:p>
    <w:p>
      <w:pPr>
        <w:pStyle w:val="BodyText"/>
      </w:pPr>
      <w:r>
        <w:t xml:space="preserve">Les angles PMNS sont reconstruits à partir de probabilités de transition.</w:t>
      </w:r>
    </w:p>
    <w:p>
      <w:pPr>
        <w:pStyle w:val="BodyText"/>
      </w:pPr>
      <w:r>
        <w:t xml:space="preserve">(</w:t>
      </w:r>
      <w:r>
        <w:rPr>
          <w:i/>
          <w:iCs/>
        </w:rPr>
        <w:t xml:space="preserve">{</w:t>
      </w:r>
      <w:r>
        <w:rPr>
          <w:i/>
          <w:iCs/>
        </w:rPr>
        <w:t xml:space="preserve">}) est corrélée à l’ordre des masses, à (</w:t>
      </w:r>
      <w:r>
        <w:t xml:space="preserve">{23}) et aux effets de matière.</w:t>
      </w:r>
    </w:p>
    <w:p>
      <w:pPr>
        <w:pStyle w:val="BodyText"/>
      </w:pPr>
      <w:r>
        <w:t xml:space="preserve">La masse absolue des neutrinos apparaît par trois voies non équivalentes.</w:t>
      </w:r>
    </w:p>
    <w:p>
      <w:pPr>
        <w:pStyle w:val="BodyText"/>
      </w:pPr>
      <w:r>
        <w:t xml:space="preserve">Cela vaut au-delà des neutrinos. Beaucoup de constantes sont moins des</w:t>
      </w:r>
      <w:r>
        <w:t xml:space="preserve"> </w:t>
      </w:r>
      <w:r>
        <w:t xml:space="preserve">“choses mesurées directement”</w:t>
      </w:r>
      <w:r>
        <w:t xml:space="preserve"> </w:t>
      </w:r>
      <w:r>
        <w:t xml:space="preserve">que des invariants reconstruits dans une architecture expérimentale et théorique.</w:t>
      </w:r>
    </w:p>
    <w:bookmarkEnd w:id="38"/>
    <w:bookmarkStart w:id="39" w:name="carte-synthétique-finale-v0.2"/>
    <w:p>
      <w:pPr>
        <w:pStyle w:val="Heading2"/>
      </w:pPr>
      <w:r>
        <w:t xml:space="preserve">14. Carte synthétique finale v0.2</w:t>
      </w:r>
    </w:p>
    <w:p>
      <w:pPr>
        <w:pStyle w:val="FirstParagraph"/>
      </w:pPr>
      <w:r>
        <w:t xml:space="preserve">La carte v0.2 peut se condenser ainsi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mais aussi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notion de constante effective stabilisée gagne donc en précision : elle ne désigne pas un nouveau type de constante concurrent des constantes physiques ordinaires. Elle désigne une méthode de lecture des rôles de constance dans les régimes physiques.</w:t>
      </w:r>
    </w:p>
    <w:bookmarkEnd w:id="39"/>
    <w:bookmarkStart w:id="40" w:name="prochaine-étape"/>
    <w:p>
      <w:pPr>
        <w:pStyle w:val="Heading2"/>
      </w:pPr>
      <w:r>
        <w:t xml:space="preserve">15. Prochaine étape</w:t>
      </w:r>
    </w:p>
    <w:p>
      <w:pPr>
        <w:pStyle w:val="FirstParagraph"/>
      </w:pPr>
      <w:r>
        <w:t xml:space="preserve">La prochaine étape ne devrait pas être un quatrième cycle immédiat. Il faut d’abord produire une</w:t>
      </w:r>
      <w:r>
        <w:t xml:space="preserve"> </w:t>
      </w:r>
      <w:r>
        <w:rPr>
          <w:b/>
          <w:bCs/>
        </w:rPr>
        <w:t xml:space="preserve">note méthodologique v0.1</w:t>
      </w:r>
      <w:r>
        <w:t xml:space="preserve"> </w:t>
      </w:r>
      <w:r>
        <w:t xml:space="preserve">qui explicite la méthode de l’enquête.</w:t>
      </w:r>
    </w:p>
    <w:p>
      <w:pPr>
        <w:pStyle w:val="BodyText"/>
      </w:pPr>
      <w:r>
        <w:t xml:space="preserve">Cette note devra répondre à quatre questions :</w:t>
      </w:r>
    </w:p>
    <w:p>
      <w:pPr>
        <w:numPr>
          <w:ilvl w:val="0"/>
          <w:numId w:val="1001"/>
        </w:numPr>
      </w:pPr>
      <w:r>
        <w:t xml:space="preserve">Qu’est-ce qu’un régime de constance ?</w:t>
      </w:r>
    </w:p>
    <w:p>
      <w:pPr>
        <w:numPr>
          <w:ilvl w:val="0"/>
          <w:numId w:val="1001"/>
        </w:numPr>
      </w:pPr>
      <w:r>
        <w:t xml:space="preserve">Comment distinguer constante, paramètre, coefficient effectif, échelle et observable reconstruite ?</w:t>
      </w:r>
    </w:p>
    <w:p>
      <w:pPr>
        <w:numPr>
          <w:ilvl w:val="0"/>
          <w:numId w:val="1001"/>
        </w:numPr>
      </w:pPr>
      <w:r>
        <w:t xml:space="preserve">Comment classer une grandeur selon sa fonction plutôt que selon son nom ?</w:t>
      </w:r>
    </w:p>
    <w:p>
      <w:pPr>
        <w:numPr>
          <w:ilvl w:val="0"/>
          <w:numId w:val="1001"/>
        </w:numPr>
      </w:pPr>
      <w:r>
        <w:t xml:space="preserve">Comment intégrer le degré de stabilisation expérimentale ?</w:t>
      </w:r>
    </w:p>
    <w:p>
      <w:pPr>
        <w:pStyle w:val="FirstParagraph"/>
      </w:pPr>
      <w:r>
        <w:t xml:space="preserve">Titre proposé :</w:t>
      </w:r>
    </w:p>
    <w:p>
      <w:pPr>
        <w:pStyle w:val="BodyText"/>
      </w:pPr>
      <w:r>
        <w:rPr>
          <w:b/>
          <w:bCs/>
        </w:rPr>
        <w:t xml:space="preserve">Méthode v0.1 — Lire les constantes comme fonctions de régime</w:t>
      </w:r>
    </w:p>
    <w:p>
      <w:pPr>
        <w:pStyle w:val="BodyText"/>
      </w:pPr>
      <w:r>
        <w:t xml:space="preserve">Cette note servira de colonne vertébrale pour transformer les fiches et cartes en un texte plus argumentatif.</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2026-07-09T06:24:57Z</dcterms:created>
  <dcterms:modified xsi:type="dcterms:W3CDTF">2026-07-09T06:24:57Z</dcterms:modified>
</cp:coreProperties>
</file>

<file path=docProps/custom.xml><?xml version="1.0" encoding="utf-8"?>
<Properties xmlns="http://schemas.openxmlformats.org/officeDocument/2006/custom-properties" xmlns:vt="http://schemas.openxmlformats.org/officeDocument/2006/docPropsVTypes"/>
</file>