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arte-consolidée-v0.4"/>
    <w:p>
      <w:pPr>
        <w:pStyle w:val="Heading1"/>
      </w:pPr>
      <w:r>
        <w:t xml:space="preserve">Carte consolidée v0.4</w:t>
      </w:r>
    </w:p>
    <w:bookmarkStart w:id="20" w:name="X0919ef7ab744fda3fef826d47e394f65395943b"/>
    <w:p>
      <w:pPr>
        <w:pStyle w:val="Heading2"/>
      </w:pPr>
      <w:r>
        <w:t xml:space="preserve">Intégration du cycle CKM et révision de la famille Orientation</w:t>
      </w:r>
    </w:p>
    <w:bookmarkEnd w:id="20"/>
    <w:bookmarkStart w:id="21" w:name="fonction-de-cette-version"/>
    <w:p>
      <w:pPr>
        <w:pStyle w:val="Heading2"/>
      </w:pPr>
      <w:r>
        <w:t xml:space="preserve">1. Fonction de cette version</w:t>
      </w:r>
    </w:p>
    <w:p>
      <w:pPr>
        <w:pStyle w:val="FirstParagraph"/>
      </w:pPr>
      <w:r>
        <w:t xml:space="preserve">La carte v0.4 intègre le cycle CKM, consacré à :</w:t>
      </w:r>
    </w:p>
    <w:p>
      <w:pPr>
        <w:pStyle w:val="BodyText"/>
      </w:pPr>
      <w:r>
        <w:t xml:space="preserve">[</w:t>
      </w:r>
      <w:r>
        <w:t xml:space="preserve"> </w:t>
      </w:r>
      <w:r>
        <w:t xml:space="preserve">V_{</w:t>
      </w:r>
      <w:r>
        <w:t xml:space="preserve">}</w:t>
      </w:r>
      <w:r>
        <w:t xml:space="preserve"> </w:t>
      </w:r>
      <w:r>
        <w:t xml:space="preserve">]</w:t>
      </w:r>
    </w:p>
    <w:p>
      <w:pPr>
        <w:pStyle w:val="BodyText"/>
      </w:pPr>
      <w:r>
        <w:t xml:space="preserve">et à sa paramétrisation hiérarchique de Wolfenstein :</w:t>
      </w:r>
    </w:p>
    <w:p>
      <w:pPr>
        <w:pStyle w:val="BodyText"/>
      </w:pPr>
      <w:r>
        <w:t xml:space="preserve">[</w:t>
      </w:r>
      <w:r>
        <w:t xml:space="preserve"> </w:t>
      </w:r>
      <w:r>
        <w:t xml:space="preserve">,</w:t>
      </w:r>
      <w:r>
        <w:t xml:space="preserve">A,</w:t>
      </w:r>
      <w:r>
        <w:t xml:space="preserve">{</w:t>
      </w:r>
      <w:r>
        <w:t xml:space="preserve">},</w:t>
      </w:r>
      <w:r>
        <w:t xml:space="preserve">{</w:t>
      </w:r>
      <w:r>
        <w:t xml:space="preserve">}</w:t>
      </w:r>
      <w:r>
        <w:t xml:space="preserve"> </w:t>
      </w:r>
      <w:r>
        <w:t xml:space="preserve">]</w:t>
      </w:r>
    </w:p>
    <w:p>
      <w:pPr>
        <w:pStyle w:val="BodyText"/>
      </w:pPr>
      <w:r>
        <w:t xml:space="preserve">Cette intégration ne consiste pas à ajouter une famille</w:t>
      </w:r>
      <w:r>
        <w:t xml:space="preserve"> </w:t>
      </w:r>
      <w:r>
        <w:t xml:space="preserve">“CKM”</w:t>
      </w:r>
      <w:r>
        <w:t xml:space="preserve">. Elle sert au contraire à tester et resserrer une famille déjà apparue dans les cycles précédents :</w:t>
      </w:r>
    </w:p>
    <w:p>
      <w:pPr>
        <w:pStyle w:val="BodyText"/>
      </w:pPr>
      <w:r>
        <w:t xml:space="preserve">[</w:t>
      </w:r>
      <w:r>
        <w:t xml:space="preserve"> </w:t>
      </w:r>
      <w:r>
        <w:t xml:space="preserve"> </w:t>
      </w:r>
      <w:r>
        <w:t xml:space="preserve">]</w:t>
      </w:r>
    </w:p>
    <w:p>
      <w:pPr>
        <w:pStyle w:val="BodyText"/>
      </w:pPr>
      <w:r>
        <w:t xml:space="preserve">Le résultat du cycle CKM est net : l’orientation est une famille supérieure robuste. Elle ne se limite pas au régime oscillatoire des neutrinos. Elle peut désigner plus généralement la stabilité d’un désalignement entre bases physiques, champs, états ou secteurs d’interaction.</w:t>
      </w:r>
    </w:p>
    <w:p>
      <w:pPr>
        <w:pStyle w:val="BodyText"/>
      </w:pPr>
      <w:r>
        <w:t xml:space="preserve">La formule directrice de la v0.4 devient donc :</w:t>
      </w:r>
    </w:p>
    <w:p>
      <w:pPr>
        <w:pStyle w:val="BodyText"/>
      </w:pPr>
      <w:r>
        <w:rPr>
          <w:b/>
          <w:bCs/>
        </w:rPr>
        <w:t xml:space="preserve">Une constante d’orientation stabilise un désalignement physique : elle fixe comment des bases, champs ou états se transforment les uns dans les autres, et comment ce désalignement devient observable selon un régime donné.</w:t>
      </w:r>
    </w:p>
    <w:bookmarkEnd w:id="21"/>
    <w:bookmarkStart w:id="22" w:name="correction-principale-de-la-v0.4"/>
    <w:p>
      <w:pPr>
        <w:pStyle w:val="Heading2"/>
      </w:pPr>
      <w:r>
        <w:t xml:space="preserve">2. Correction principale de la v0.4</w:t>
      </w:r>
    </w:p>
    <w:p>
      <w:pPr>
        <w:pStyle w:val="FirstParagraph"/>
      </w:pPr>
      <w:r>
        <w:t xml:space="preserve">La carte v0.3 avait déjà distingué :</w:t>
      </w:r>
    </w:p>
    <w:p>
      <w:pPr>
        <w:pStyle w:val="BodyText"/>
      </w:pPr>
      <w:r>
        <w:t xml:space="preserve">[</w:t>
      </w:r>
      <w:r>
        <w:t xml:space="preserve"> </w:t>
      </w:r>
      <w:r>
        <w:t xml:space="preserve"> </w:t>
      </w:r>
      <w:r>
        <w:t xml:space="preserve">]</w:t>
      </w:r>
    </w:p>
    <w:p>
      <w:pPr>
        <w:pStyle w:val="BodyText"/>
      </w:pPr>
      <w:r>
        <w:t xml:space="preserve">et :</w:t>
      </w:r>
    </w:p>
    <w:p>
      <w:pPr>
        <w:pStyle w:val="BodyText"/>
      </w:pPr>
      <w:r>
        <w:t xml:space="preserve">[</w:t>
      </w:r>
      <w:r>
        <w:t xml:space="preserve"> </w:t>
      </w:r>
      <w:r>
        <w:t xml:space="preserve"> </w:t>
      </w:r>
      <w:r>
        <w:t xml:space="preserve">]</w:t>
      </w:r>
    </w:p>
    <w:p>
      <w:pPr>
        <w:pStyle w:val="BodyText"/>
      </w:pPr>
      <w:r>
        <w:t xml:space="preserve">La v0.4 applique ce principe à la famille Orientation.</w:t>
      </w:r>
    </w:p>
    <w:p>
      <w:pPr>
        <w:pStyle w:val="BodyText"/>
      </w:pPr>
      <w:r>
        <w:t xml:space="preserve">Les catégories issues du cycle neutrino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ne doivent plus être traitées comme familles générales. Elles deviennent des sous-types locaux ou des manifestations phénoménologiques.</w:t>
      </w:r>
    </w:p>
    <w:p>
      <w:pPr>
        <w:pStyle w:val="BodyText"/>
      </w:pPr>
      <w:r>
        <w:t xml:space="preserve">La famille générale est :</w:t>
      </w:r>
    </w:p>
    <w:p>
      <w:pPr>
        <w:pStyle w:val="BodyText"/>
      </w:pPr>
      <w:r>
        <w:t xml:space="preserve">[</w:t>
      </w:r>
      <w:r>
        <w:t xml:space="preserve"> </w:t>
      </w:r>
      <w:r>
        <w:t xml:space="preserve"> </w:t>
      </w:r>
      <w:r>
        <w:t xml:space="preserve">]</w:t>
      </w:r>
    </w:p>
    <w:p>
      <w:pPr>
        <w:pStyle w:val="BodyText"/>
      </w:pPr>
      <w:r>
        <w:t xml:space="preserve">Ses manifestations peuvent être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Cela permet de comparer (</w:t>
      </w:r>
      <w:r>
        <w:t xml:space="preserve">_W), PMNS et CKM sans les confondre.</w:t>
      </w:r>
    </w:p>
    <w:bookmarkEnd w:id="22"/>
    <w:bookmarkStart w:id="23" w:name="corpus-actuellement-intégré"/>
    <w:p>
      <w:pPr>
        <w:pStyle w:val="Heading2"/>
      </w:pPr>
      <w:r>
        <w:t xml:space="preserve">3. Corpus actuellement intégré</w:t>
      </w:r>
    </w:p>
    <w:p>
      <w:pPr>
        <w:pStyle w:val="FirstParagraph"/>
      </w:pPr>
      <w:r>
        <w:t xml:space="preserve">La carte v0.4 intègre désormais les grandeurs suivantes :</w:t>
      </w:r>
    </w:p>
    <w:p>
      <w:pPr>
        <w:pStyle w:val="BodyText"/>
      </w:pPr>
      <w:r>
        <w:t xml:space="preserve">[</w:t>
      </w:r>
      <w:r>
        <w:t xml:space="preserve"> </w:t>
      </w:r>
      <w:r>
        <w:t xml:space="preserve">,</w:t>
      </w:r>
      <w:r>
        <w:t xml:space="preserve">m_e,</w:t>
      </w:r>
      <w:r>
        <w:t xml:space="preserve">,</w:t>
      </w:r>
      <w:r>
        <w:rPr>
          <w:i/>
          <w:iCs/>
        </w:rPr>
        <w:t xml:space="preserve">s,</w:t>
      </w:r>
      <w:r>
        <w:t xml:space="preserve">{</w:t>
      </w:r>
      <w:r>
        <w:t xml:space="preserve">}</w:t>
      </w:r>
      <w:r>
        <w:t xml:space="preserve"> </w:t>
      </w:r>
      <w:r>
        <w:t xml:space="preserve">]</w:t>
      </w:r>
    </w:p>
    <w:p>
      <w:pPr>
        <w:pStyle w:val="BodyText"/>
      </w:pPr>
      <w:r>
        <w:t xml:space="preserve">[</w:t>
      </w:r>
      <w:r>
        <w:t xml:space="preserve"> </w:t>
      </w:r>
      <w:r>
        <w:t xml:space="preserve">v,</w:t>
      </w:r>
      <w:r>
        <w:t xml:space="preserve">y_f,</w:t>
      </w:r>
      <w:r>
        <w:rPr>
          <w:i/>
          <w:iCs/>
        </w:rPr>
        <w:t xml:space="preserve">G,</w:t>
      </w:r>
      <w:r>
        <w:rPr>
          <w:i/>
          <w:iCs/>
        </w:rPr>
        <w:t xml:space="preserve">M</w:t>
      </w:r>
      <w:r>
        <w:t xml:space="preserve">{</w:t>
      </w:r>
      <w:r>
        <w:t xml:space="preserve">},</w:t>
      </w:r>
      <w:r>
        <w:t xml:space="preserve">G_F,</w:t>
      </w:r>
      <w:r>
        <w:t xml:space="preserve">_W,</w:t>
      </w:r>
      <w:r>
        <w:t xml:space="preserve"> </w:t>
      </w:r>
      <w:r>
        <w:t xml:space="preserve">]</w:t>
      </w:r>
    </w:p>
    <w:p>
      <w:pPr>
        <w:pStyle w:val="BodyText"/>
      </w:pPr>
      <w:r>
        <w:t xml:space="preserve">[</w:t>
      </w:r>
      <w:r>
        <w:t xml:space="preserve"> </w:t>
      </w:r>
      <w:r>
        <w:t xml:space="preserve">m</w:t>
      </w:r>
      <w:r>
        <w:rPr>
          <w:vertAlign w:val="superscript"/>
        </w:rPr>
        <w:t xml:space="preserve">2_{21},</w:t>
      </w:r>
      <w:r>
        <w:rPr>
          <w:vertAlign w:val="superscript"/>
        </w:rPr>
        <w:t xml:space="preserve">m</w:t>
      </w:r>
      <w:r>
        <w:t xml:space="preserve">2_{3</w:t>
      </w:r>
      <w:r>
        <w:t xml:space="preserve">},</w:t>
      </w:r>
      <w:r>
        <w:rPr>
          <w:i/>
          <w:iCs/>
        </w:rPr>
        <w:t xml:space="preserve">{12},</w:t>
      </w:r>
      <w:r>
        <w:t xml:space="preserve">{23},</w:t>
      </w:r>
      <w:r>
        <w:rPr>
          <w:i/>
          <w:iCs/>
        </w:rPr>
        <w:t xml:space="preserve">{13},</w:t>
      </w:r>
      <w:r>
        <w:t xml:space="preserve">{</w:t>
      </w:r>
      <w:r>
        <w:t xml:space="preserve">}</w:t>
      </w:r>
      <w:r>
        <w:t xml:space="preserve"> </w:t>
      </w:r>
      <w:r>
        <w:t xml:space="preserve">]</w:t>
      </w:r>
    </w:p>
    <w:p>
      <w:pPr>
        <w:pStyle w:val="BodyText"/>
      </w:pPr>
      <w:r>
        <w:t xml:space="preserve">[</w:t>
      </w:r>
      <w:r>
        <w:t xml:space="preserve"> </w:t>
      </w:r>
      <w:r>
        <w:t xml:space="preserve">m_</w:t>
      </w:r>
      <w:r>
        <w:t xml:space="preserve">,</w:t>
      </w:r>
      <w:r>
        <w:t xml:space="preserve">m_</w:t>
      </w:r>
      <w:r>
        <w:t xml:space="preserve">,</w:t>
      </w:r>
      <w:r>
        <w:t xml:space="preserve">m_{</w:t>
      </w:r>
      <w:r>
        <w:t xml:space="preserve">}</w:t>
      </w:r>
      <w:r>
        <w:t xml:space="preserve"> </w:t>
      </w:r>
      <w:r>
        <w:t xml:space="preserve">]</w:t>
      </w:r>
    </w:p>
    <w:p>
      <w:pPr>
        <w:pStyle w:val="BodyText"/>
      </w:pPr>
      <w:r>
        <w:t xml:space="preserve">[</w:t>
      </w:r>
      <w:r>
        <w:t xml:space="preserve"> </w:t>
      </w:r>
      <w:r>
        <w:t xml:space="preserve">k_B,</w:t>
      </w:r>
      <w:r>
        <w:t xml:space="preserve">N_A,</w:t>
      </w:r>
      <w:r>
        <w:t xml:space="preserve">R</w:t>
      </w:r>
      <w:r>
        <w:t xml:space="preserve"> </w:t>
      </w:r>
      <w:r>
        <w:t xml:space="preserve">]</w:t>
      </w:r>
    </w:p>
    <w:p>
      <w:pPr>
        <w:pStyle w:val="BodyText"/>
      </w:pPr>
      <w:r>
        <w:t xml:space="preserve">[</w:t>
      </w:r>
      <w:r>
        <w:t xml:space="preserve"> </w:t>
      </w:r>
      <w:r>
        <w:t xml:space="preserve">V_{</w:t>
      </w:r>
      <w:r>
        <w:t xml:space="preserve">},</w:t>
      </w:r>
      <w:r>
        <w:t xml:space="preserve">,</w:t>
      </w:r>
      <w:r>
        <w:t xml:space="preserve">A,</w:t>
      </w:r>
      <w:r>
        <w:t xml:space="preserve">{</w:t>
      </w:r>
      <w:r>
        <w:t xml:space="preserve">},</w:t>
      </w:r>
      <w:r>
        <w:t xml:space="preserve">{</w:t>
      </w:r>
      <w:r>
        <w:t xml:space="preserve">}</w:t>
      </w:r>
      <w:r>
        <w:t xml:space="preserve"> </w:t>
      </w:r>
      <w:r>
        <w:t xml:space="preserve">]</w:t>
      </w:r>
    </w:p>
    <w:p>
      <w:pPr>
        <w:pStyle w:val="BodyText"/>
      </w:pPr>
      <w:r>
        <w:t xml:space="preserve">Le corpus commence à couvrir plusieurs types de constance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La carte doit donc rester multi-axiale. Aucun axe unique ne peut suffire.</w:t>
      </w:r>
    </w:p>
    <w:bookmarkEnd w:id="23"/>
    <w:bookmarkStart w:id="28" w:name="architecture-générale-v0.4"/>
    <w:p>
      <w:pPr>
        <w:pStyle w:val="Heading2"/>
      </w:pPr>
      <w:r>
        <w:t xml:space="preserve">4. Architecture générale v0.4</w:t>
      </w:r>
    </w:p>
    <w:p>
      <w:pPr>
        <w:pStyle w:val="FirstParagraph"/>
      </w:pPr>
      <w:r>
        <w:t xml:space="preserve">La v0.4 conserve les quatre axes introduits dans la v0.3.</w:t>
      </w:r>
    </w:p>
    <w:bookmarkStart w:id="24" w:name="fonction-physique"/>
    <w:p>
      <w:pPr>
        <w:pStyle w:val="Heading3"/>
      </w:pPr>
      <w:r>
        <w:t xml:space="preserve">4.1 Fonction physique</w:t>
      </w:r>
    </w:p>
    <w:p>
      <w:pPr>
        <w:pStyle w:val="FirstParagraph"/>
      </w:pPr>
      <w:r>
        <w:t xml:space="preserve">Que fait la grandeur ?</w:t>
      </w:r>
    </w:p>
    <w:p>
      <w:pPr>
        <w:pStyle w:val="BodyText"/>
      </w:pPr>
      <w:r>
        <w:t xml:space="preserve">Elle peut mesurer une intensité, fixer une échelle, raccorder deux descriptions, orienter un mélange, borner un seuil, structurer un fond ou définir une unité.</w:t>
      </w:r>
    </w:p>
    <w:bookmarkEnd w:id="24"/>
    <w:bookmarkStart w:id="25" w:name="régime-de-définition-physique"/>
    <w:p>
      <w:pPr>
        <w:pStyle w:val="Heading3"/>
      </w:pPr>
      <w:r>
        <w:t xml:space="preserve">4.2 Régime de définition physique</w:t>
      </w:r>
    </w:p>
    <w:p>
      <w:pPr>
        <w:pStyle w:val="FirstParagraph"/>
      </w:pPr>
      <w:r>
        <w:t xml:space="preserve">Dans quel domaine la grandeur joue-t-elle un rôle ?</w:t>
      </w:r>
    </w:p>
    <w:p>
      <w:pPr>
        <w:pStyle w:val="BodyText"/>
      </w:pPr>
      <w:r>
        <w:t xml:space="preserve">Exemples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25"/>
    <w:bookmarkStart w:id="26" w:name="régime-daccès-épistémique"/>
    <w:p>
      <w:pPr>
        <w:pStyle w:val="Heading3"/>
      </w:pPr>
      <w:r>
        <w:t xml:space="preserve">4.3 Régime d’accès épistémique</w:t>
      </w:r>
    </w:p>
    <w:p>
      <w:pPr>
        <w:pStyle w:val="FirstParagraph"/>
      </w:pPr>
      <w:r>
        <w:t xml:space="preserve">Par quelle procédure la grandeur est-elle mesurée, reconstruite, bornée, fixée ou rendue comparable ?</w:t>
      </w:r>
    </w:p>
    <w:p>
      <w:pPr>
        <w:pStyle w:val="BodyText"/>
      </w:pPr>
      <w:r>
        <w:t xml:space="preserve">Exemples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bookmarkEnd w:id="26"/>
    <w:bookmarkStart w:id="27" w:name="mode-de-stabilisation"/>
    <w:p>
      <w:pPr>
        <w:pStyle w:val="Heading3"/>
      </w:pPr>
      <w:r>
        <w:t xml:space="preserve">4.4 Mode de stabilisation</w:t>
      </w:r>
    </w:p>
    <w:p>
      <w:pPr>
        <w:pStyle w:val="FirstParagraph"/>
      </w:pPr>
      <w:r>
        <w:t xml:space="preserve">La grandeur est-elle stabilisée empiriquement, conventionnellement, théoriquement, par ajustement global, par reconstruction observationnelle ou seulement par borne ?</w:t>
      </w:r>
    </w:p>
    <w:p>
      <w:pPr>
        <w:pStyle w:val="BodyText"/>
      </w:pPr>
      <w:r>
        <w:t xml:space="preserve">Cette quadruple lecture reste le cœur de la méthode.</w:t>
      </w:r>
    </w:p>
    <w:bookmarkEnd w:id="27"/>
    <w:bookmarkEnd w:id="28"/>
    <w:bookmarkStart w:id="29" w:name="familles-fonctionnelles-supérieures-v0.4"/>
    <w:p>
      <w:pPr>
        <w:pStyle w:val="Heading2"/>
      </w:pPr>
      <w:r>
        <w:t xml:space="preserve">5. Familles fonctionnelles supérieures v0.4</w:t>
      </w:r>
    </w:p>
    <w:p>
      <w:pPr>
        <w:pStyle w:val="FirstParagraph"/>
      </w:pPr>
      <w:r>
        <w:t xml:space="preserve">La carte v0.4 retient les familles suivantes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Famille supérieure</w:t>
            </w:r>
          </w:p>
        </w:tc>
        <w:tc>
          <w:tcPr/>
          <w:p>
            <w:pPr>
              <w:pStyle w:val="Compact"/>
            </w:pPr>
            <w:r>
              <w:t xml:space="preserve">Fonction générale</w:t>
            </w:r>
          </w:p>
        </w:tc>
        <w:tc>
          <w:tcPr/>
          <w:p>
            <w:pPr>
              <w:pStyle w:val="Compact"/>
            </w:pPr>
            <w:r>
              <w:t xml:space="preserve">Cas principaux</w:t>
            </w:r>
          </w:p>
        </w:tc>
      </w:tr>
      <w:tr>
        <w:tc>
          <w:tcPr/>
          <w:p>
            <w:pPr>
              <w:pStyle w:val="Compact"/>
            </w:pPr>
            <w:r>
              <w:t xml:space="preserve">Couplage</w:t>
            </w:r>
          </w:p>
        </w:tc>
        <w:tc>
          <w:tcPr/>
          <w:p>
            <w:pPr>
              <w:pStyle w:val="Compact"/>
            </w:pPr>
            <w:r>
              <w:t xml:space="preserve">Mesurer ou paramétrer une intensité d’interaction</w:t>
            </w:r>
          </w:p>
        </w:tc>
        <w:tc>
          <w:tcPr/>
          <w:p>
            <w:pPr>
              <w:pStyle w:val="Compact"/>
            </w:pPr>
            <w:r>
              <w:t xml:space="preserve">(</w:t>
            </w:r>
            <w:r>
              <w:t xml:space="preserve">), (</w:t>
            </w:r>
            <w:r>
              <w:t xml:space="preserve">_s), (</w:t>
            </w:r>
            <w:r>
              <w:t xml:space="preserve">_G), (y_f)</w:t>
            </w:r>
          </w:p>
        </w:tc>
      </w:tr>
      <w:tr>
        <w:tc>
          <w:tcPr/>
          <w:p>
            <w:pPr>
              <w:pStyle w:val="Compact"/>
            </w:pPr>
            <w:r>
              <w:t xml:space="preserve">Échelle</w:t>
            </w:r>
          </w:p>
        </w:tc>
        <w:tc>
          <w:tcPr/>
          <w:p>
            <w:pPr>
              <w:pStyle w:val="Compact"/>
            </w:pPr>
            <w:r>
              <w:t xml:space="preserve">Fixer, révéler ou hiérarchiser une échelle physique</w:t>
            </w:r>
          </w:p>
        </w:tc>
        <w:tc>
          <w:tcPr/>
          <w:p>
            <w:pPr>
              <w:pStyle w:val="Compact"/>
            </w:pPr>
            <w:r>
              <w:t xml:space="preserve">(v), (</w:t>
            </w:r>
            <w:r>
              <w:rPr>
                <w:i/>
                <w:iCs/>
              </w:rPr>
              <w:t xml:space="preserve">{</w:t>
            </w:r>
            <w:r>
              <w:rPr>
                <w:i/>
                <w:iCs/>
              </w:rPr>
              <w:t xml:space="preserve">}), (M</w:t>
            </w:r>
            <w:r>
              <w:t xml:space="preserve">{</w:t>
            </w:r>
            <w:r>
              <w:t xml:space="preserve">}), (G_F^{-1/2})</w:t>
            </w:r>
          </w:p>
        </w:tc>
      </w:tr>
      <w:tr>
        <w:tc>
          <w:tcPr/>
          <w:p>
            <w:pPr>
              <w:pStyle w:val="Compact"/>
            </w:pPr>
            <w:r>
              <w:t xml:space="preserve">Relation</w:t>
            </w:r>
          </w:p>
        </w:tc>
        <w:tc>
          <w:tcPr/>
          <w:p>
            <w:pPr>
              <w:pStyle w:val="Compact"/>
            </w:pPr>
            <w:r>
              <w:t xml:space="preserve">Relier des grandeurs, niveaux ou régimes distincts</w:t>
            </w:r>
          </w:p>
        </w:tc>
        <w:tc>
          <w:tcPr/>
          <w:p>
            <w:pPr>
              <w:pStyle w:val="Compact"/>
            </w:pPr>
            <w:r>
              <w:t xml:space="preserve">(m_p/m_e), (R=N_Ak_B), (</w:t>
            </w:r>
            <w:r>
              <w:t xml:space="preserve">m^2)</w:t>
            </w:r>
          </w:p>
        </w:tc>
      </w:tr>
      <w:tr>
        <w:tc>
          <w:tcPr/>
          <w:p>
            <w:pPr>
              <w:pStyle w:val="Compact"/>
            </w:pPr>
            <w:r>
              <w:t xml:space="preserve">Raccordement</w:t>
            </w:r>
          </w:p>
        </w:tc>
        <w:tc>
          <w:tcPr/>
          <w:p>
            <w:pPr>
              <w:pStyle w:val="Compact"/>
            </w:pPr>
            <w:r>
              <w:t xml:space="preserve">Relier une description effective à une description plus complète</w:t>
            </w:r>
          </w:p>
        </w:tc>
        <w:tc>
          <w:tcPr/>
          <w:p>
            <w:pPr>
              <w:pStyle w:val="Compact"/>
            </w:pPr>
            <w:r>
              <w:t xml:space="preserve">(G_F), lectures EFT</w:t>
            </w:r>
          </w:p>
        </w:tc>
      </w:tr>
      <w:tr>
        <w:tc>
          <w:tcPr/>
          <w:p>
            <w:pPr>
              <w:pStyle w:val="Compact"/>
            </w:pPr>
            <w:r>
              <w:t xml:space="preserve">Orientation</w:t>
            </w:r>
          </w:p>
        </w:tc>
        <w:tc>
          <w:tcPr/>
          <w:p>
            <w:pPr>
              <w:pStyle w:val="Compact"/>
            </w:pPr>
            <w:r>
              <w:t xml:space="preserve">Fixer un désalignement entre bases, champs, états ou secteurs</w:t>
            </w:r>
          </w:p>
        </w:tc>
        <w:tc>
          <w:tcPr/>
          <w:p>
            <w:pPr>
              <w:pStyle w:val="Compact"/>
            </w:pPr>
            <w:r>
              <w:t xml:space="preserve">(</w:t>
            </w:r>
            <w:r>
              <w:rPr>
                <w:i/>
                <w:iCs/>
              </w:rPr>
              <w:t xml:space="preserve">W), PMNS, CKM, (</w:t>
            </w:r>
            <w:r>
              <w:t xml:space="preserve">{</w:t>
            </w:r>
            <w:r>
              <w:t xml:space="preserve">})</w:t>
            </w:r>
          </w:p>
        </w:tc>
      </w:tr>
      <w:tr>
        <w:tc>
          <w:tcPr/>
          <w:p>
            <w:pPr>
              <w:pStyle w:val="Compact"/>
            </w:pPr>
            <w:r>
              <w:t xml:space="preserve">Fond</w:t>
            </w:r>
          </w:p>
        </w:tc>
        <w:tc>
          <w:tcPr/>
          <w:p>
            <w:pPr>
              <w:pStyle w:val="Compact"/>
            </w:pPr>
            <w:r>
              <w:t xml:space="preserve">Structurer une dynamique globale</w:t>
            </w:r>
          </w:p>
        </w:tc>
        <w:tc>
          <w:tcPr/>
          <w:p>
            <w:pPr>
              <w:pStyle w:val="Compact"/>
            </w:pPr>
            <w:r>
              <w:t xml:space="preserve">(</w:t>
            </w:r>
            <w:r>
              <w:t xml:space="preserve">)</w:t>
            </w:r>
          </w:p>
        </w:tc>
      </w:tr>
      <w:tr>
        <w:tc>
          <w:tcPr/>
          <w:p>
            <w:pPr>
              <w:pStyle w:val="Compact"/>
            </w:pPr>
            <w:r>
              <w:t xml:space="preserve">Seuil</w:t>
            </w:r>
          </w:p>
        </w:tc>
        <w:tc>
          <w:tcPr/>
          <w:p>
            <w:pPr>
              <w:pStyle w:val="Compact"/>
            </w:pPr>
            <w:r>
              <w:t xml:space="preserve">Fixer ou borner l’ancrage absolu d’un spectre</w:t>
            </w:r>
          </w:p>
        </w:tc>
        <w:tc>
          <w:tcPr/>
          <w:p>
            <w:pPr>
              <w:pStyle w:val="Compact"/>
            </w:pPr>
            <w:r>
              <w:t xml:space="preserve">masse absolue des neutrinos</w:t>
            </w:r>
          </w:p>
        </w:tc>
      </w:tr>
      <w:tr>
        <w:tc>
          <w:tcPr/>
          <w:p>
            <w:pPr>
              <w:pStyle w:val="Compact"/>
            </w:pPr>
            <w:r>
              <w:t xml:space="preserve">Convention</w:t>
            </w:r>
          </w:p>
        </w:tc>
        <w:tc>
          <w:tcPr/>
          <w:p>
            <w:pPr>
              <w:pStyle w:val="Compact"/>
            </w:pPr>
            <w:r>
              <w:t xml:space="preserve">Définir exactement une unité ou une grandeur dérivée dans un système métrologique</w:t>
            </w:r>
          </w:p>
        </w:tc>
        <w:tc>
          <w:tcPr/>
          <w:p>
            <w:pPr>
              <w:pStyle w:val="Compact"/>
            </w:pPr>
            <w:r>
              <w:t xml:space="preserve">(k_B), (N_A), (R)</w:t>
            </w:r>
          </w:p>
        </w:tc>
      </w:tr>
    </w:tbl>
    <w:p>
      <w:pPr>
        <w:pStyle w:val="BodyText"/>
      </w:pPr>
      <w:r>
        <w:t xml:space="preserve">La nouveauté de la v0.4 n’est pas l’ajout d’une famille, mais la consolidation de la famille Orientation.</w:t>
      </w:r>
    </w:p>
    <w:bookmarkEnd w:id="29"/>
    <w:bookmarkStart w:id="30" w:name="Xf68e3e643e69268ac216218d7efb9f01ef5f17f"/>
    <w:p>
      <w:pPr>
        <w:pStyle w:val="Heading2"/>
      </w:pPr>
      <w:r>
        <w:t xml:space="preserve">6. Définition révisée de la famille Orientation</w:t>
      </w:r>
    </w:p>
    <w:p>
      <w:pPr>
        <w:pStyle w:val="FirstParagraph"/>
      </w:pPr>
      <w:r>
        <w:t xml:space="preserve">Définition proposée :</w:t>
      </w:r>
    </w:p>
    <w:p>
      <w:pPr>
        <w:pStyle w:val="BodyText"/>
      </w:pPr>
      <w:r>
        <w:rPr>
          <w:b/>
          <w:bCs/>
        </w:rPr>
        <w:t xml:space="preserve">Une constante d’orientation est une grandeur sans dimension, souvent angulaire, matricielle ou phasique, qui fixe le désalignement entre bases physiques, champs, états ou secteurs d’interaction, et dont les effets se manifestent par des mélanges, projections, transitions ou asymétries.</w:t>
      </w:r>
    </w:p>
    <w:p>
      <w:pPr>
        <w:pStyle w:val="BodyText"/>
      </w:pPr>
      <w:r>
        <w:t xml:space="preserve">Cette définition couvre :</w:t>
      </w:r>
    </w:p>
    <w:p>
      <w:pPr>
        <w:pStyle w:val="BodyText"/>
      </w:pPr>
      <w:r>
        <w:t xml:space="preserve">[</w:t>
      </w:r>
      <w:r>
        <w:t xml:space="preserve"> </w:t>
      </w:r>
      <w:r>
        <w:t xml:space="preserve">_W</w:t>
      </w:r>
      <w:r>
        <w:t xml:space="preserve"> </w:t>
      </w:r>
      <w:r>
        <w:t xml:space="preserve">]</w:t>
      </w:r>
    </w:p>
    <w:p>
      <w:pPr>
        <w:pStyle w:val="BodyText"/>
      </w:pPr>
      <w:r>
        <w:t xml:space="preserve">comme orientation entre champs de jauge neutres,</w:t>
      </w:r>
    </w:p>
    <w:p>
      <w:pPr>
        <w:pStyle w:val="BodyText"/>
      </w:pPr>
      <w:r>
        <w:t xml:space="preserve">[</w:t>
      </w:r>
      <w:r>
        <w:t xml:space="preserve"> </w:t>
      </w:r>
      <w:r>
        <w:t xml:space="preserve">U_{</w:t>
      </w:r>
      <w:r>
        <w:t xml:space="preserve">}</w:t>
      </w:r>
      <w:r>
        <w:t xml:space="preserve"> </w:t>
      </w:r>
      <w:r>
        <w:t xml:space="preserve">]</w:t>
      </w:r>
    </w:p>
    <w:p>
      <w:pPr>
        <w:pStyle w:val="BodyText"/>
      </w:pPr>
      <w:r>
        <w:t xml:space="preserve">comme orientation entre états de saveur et états de masse dans le secteur leptonique,</w:t>
      </w:r>
    </w:p>
    <w:p>
      <w:pPr>
        <w:pStyle w:val="BodyText"/>
      </w:pPr>
      <w:r>
        <w:t xml:space="preserve">[</w:t>
      </w:r>
      <w:r>
        <w:t xml:space="preserve"> </w:t>
      </w:r>
      <w:r>
        <w:t xml:space="preserve">V_{</w:t>
      </w:r>
      <w:r>
        <w:t xml:space="preserve">}</w:t>
      </w:r>
      <w:r>
        <w:t xml:space="preserve"> </w:t>
      </w:r>
      <w:r>
        <w:t xml:space="preserve">]</w:t>
      </w:r>
    </w:p>
    <w:p>
      <w:pPr>
        <w:pStyle w:val="BodyText"/>
      </w:pPr>
      <w:r>
        <w:t xml:space="preserve">comme orientation entre base de masse et base d’interaction faible dans le secteur quark,</w:t>
      </w:r>
    </w:p>
    <w:p>
      <w:pPr>
        <w:pStyle w:val="BodyText"/>
      </w:pPr>
      <w:r>
        <w:t xml:space="preserve">[</w:t>
      </w:r>
      <w:r>
        <w:t xml:space="preserve"> </w:t>
      </w:r>
      <w:r>
        <w:t xml:space="preserve">_{</w:t>
      </w:r>
      <w:r>
        <w:t xml:space="preserve">}</w:t>
      </w:r>
      <w:r>
        <w:t xml:space="preserve"> </w:t>
      </w:r>
      <w:r>
        <w:t xml:space="preserve">]</w:t>
      </w:r>
    </w:p>
    <w:p>
      <w:pPr>
        <w:pStyle w:val="BodyText"/>
      </w:pPr>
      <w:r>
        <w:t xml:space="preserve">comme orientation complexe liée à une asymétrie CP,</w:t>
      </w:r>
    </w:p>
    <w:p>
      <w:pPr>
        <w:pStyle w:val="BodyText"/>
      </w:pPr>
      <w:r>
        <w:t xml:space="preserve">[</w:t>
      </w:r>
      <w:r>
        <w:t xml:space="preserve"> </w:t>
      </w:r>
      <w:r>
        <w:t xml:space="preserve">,A,</w:t>
      </w:r>
      <w:r>
        <w:t xml:space="preserve">{</w:t>
      </w:r>
      <w:r>
        <w:t xml:space="preserve">},</w:t>
      </w:r>
      <w:r>
        <w:t xml:space="preserve">{</w:t>
      </w:r>
      <w:r>
        <w:t xml:space="preserve">}</w:t>
      </w:r>
      <w:r>
        <w:t xml:space="preserve"> </w:t>
      </w:r>
      <w:r>
        <w:t xml:space="preserve">]</w:t>
      </w:r>
    </w:p>
    <w:p>
      <w:pPr>
        <w:pStyle w:val="BodyText"/>
      </w:pPr>
      <w:r>
        <w:t xml:space="preserve">comme coordonnées hiérarchiques de l’orientation CKM.</w:t>
      </w:r>
    </w:p>
    <w:p>
      <w:pPr>
        <w:pStyle w:val="BodyText"/>
      </w:pPr>
      <w:r>
        <w:t xml:space="preserve">Cette famille est maintenant robuste parce qu’elle accueille des cas hétérogènes.</w:t>
      </w:r>
    </w:p>
    <w:bookmarkEnd w:id="30"/>
    <w:bookmarkStart w:id="31" w:name="sous-types-de-la-famille-orientation"/>
    <w:p>
      <w:pPr>
        <w:pStyle w:val="Heading2"/>
      </w:pPr>
      <w:r>
        <w:t xml:space="preserve">7. Sous-types de la famille Orientation</w:t>
      </w:r>
    </w:p>
    <w:p>
      <w:pPr>
        <w:pStyle w:val="FirstParagraph"/>
      </w:pPr>
      <w:r>
        <w:t xml:space="preserve">La famille Orientation se déploie désormais en plusieurs sous-types.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Sous-type</w:t>
            </w:r>
          </w:p>
        </w:tc>
        <w:tc>
          <w:tcPr/>
          <w:p>
            <w:pPr>
              <w:pStyle w:val="Compact"/>
            </w:pPr>
            <w:r>
              <w:t xml:space="preserve">Définition</w:t>
            </w:r>
          </w:p>
        </w:tc>
        <w:tc>
          <w:tcPr/>
          <w:p>
            <w:pPr>
              <w:pStyle w:val="Compact"/>
            </w:pPr>
            <w:r>
              <w:t xml:space="preserve">Cas</w:t>
            </w:r>
          </w:p>
        </w:tc>
      </w:tr>
      <w:tr>
        <w:tc>
          <w:tcPr/>
          <w:p>
            <w:pPr>
              <w:pStyle w:val="Compact"/>
            </w:pPr>
            <w:r>
              <w:t xml:space="preserve">Orientation de jauge</w:t>
            </w:r>
          </w:p>
        </w:tc>
        <w:tc>
          <w:tcPr/>
          <w:p>
            <w:pPr>
              <w:pStyle w:val="Compact"/>
            </w:pPr>
            <w:r>
              <w:t xml:space="preserve">Désalignement ou mélange entre champs de jauge</w:t>
            </w:r>
          </w:p>
        </w:tc>
        <w:tc>
          <w:tcPr/>
          <w:p>
            <w:pPr>
              <w:pStyle w:val="Compact"/>
            </w:pPr>
            <w:r>
              <w:t xml:space="preserve">(</w:t>
            </w:r>
            <w:r>
              <w:t xml:space="preserve">_W)</w:t>
            </w:r>
          </w:p>
        </w:tc>
      </w:tr>
      <w:tr>
        <w:tc>
          <w:tcPr/>
          <w:p>
            <w:pPr>
              <w:pStyle w:val="Compact"/>
            </w:pPr>
            <w:r>
              <w:t xml:space="preserve">Orientation de saveur oscillatoire</w:t>
            </w:r>
          </w:p>
        </w:tc>
        <w:tc>
          <w:tcPr/>
          <w:p>
            <w:pPr>
              <w:pStyle w:val="Compact"/>
            </w:pPr>
            <w:r>
              <w:t xml:space="preserve">Désalignement saveur/masse se manifestant par oscillations</w:t>
            </w:r>
          </w:p>
        </w:tc>
        <w:tc>
          <w:tcPr/>
          <w:p>
            <w:pPr>
              <w:pStyle w:val="Compact"/>
            </w:pPr>
            <w:r>
              <w:t xml:space="preserve">PMNS</w:t>
            </w:r>
          </w:p>
        </w:tc>
      </w:tr>
      <w:tr>
        <w:tc>
          <w:tcPr/>
          <w:p>
            <w:pPr>
              <w:pStyle w:val="Compact"/>
            </w:pPr>
            <w:r>
              <w:t xml:space="preserve">Orientation de saveur transitionnelle</w:t>
            </w:r>
          </w:p>
        </w:tc>
        <w:tc>
          <w:tcPr/>
          <w:p>
            <w:pPr>
              <w:pStyle w:val="Compact"/>
            </w:pPr>
            <w:r>
              <w:t xml:space="preserve">Désalignement saveur/masse se manifestant par transitions faibles</w:t>
            </w:r>
          </w:p>
        </w:tc>
        <w:tc>
          <w:tcPr/>
          <w:p>
            <w:pPr>
              <w:pStyle w:val="Compact"/>
            </w:pPr>
            <w:r>
              <w:t xml:space="preserve">CKM</w:t>
            </w:r>
          </w:p>
        </w:tc>
      </w:tr>
      <w:tr>
        <w:tc>
          <w:tcPr/>
          <w:p>
            <w:pPr>
              <w:pStyle w:val="Compact"/>
            </w:pPr>
            <w:r>
              <w:t xml:space="preserve">Orientation complexe CP</w:t>
            </w:r>
          </w:p>
        </w:tc>
        <w:tc>
          <w:tcPr/>
          <w:p>
            <w:pPr>
              <w:pStyle w:val="Compact"/>
            </w:pPr>
            <w:r>
              <w:t xml:space="preserve">Phase physique produisant une asymétrie CP</w:t>
            </w:r>
          </w:p>
        </w:tc>
        <w:tc>
          <w:tcPr/>
          <w:p>
            <w:pPr>
              <w:pStyle w:val="Compact"/>
            </w:pPr>
            <w:r>
              <w:t xml:space="preserve">(</w:t>
            </w:r>
            <w:r>
              <w:t xml:space="preserve">_{</w:t>
            </w:r>
            <w:r>
              <w:t xml:space="preserve">}), phase CKM</w:t>
            </w:r>
          </w:p>
        </w:tc>
      </w:tr>
      <w:tr>
        <w:tc>
          <w:tcPr/>
          <w:p>
            <w:pPr>
              <w:pStyle w:val="Compact"/>
            </w:pPr>
            <w:r>
              <w:t xml:space="preserve">Orientation hiérarchique</w:t>
            </w:r>
          </w:p>
        </w:tc>
        <w:tc>
          <w:tcPr/>
          <w:p>
            <w:pPr>
              <w:pStyle w:val="Compact"/>
            </w:pPr>
            <w:r>
              <w:t xml:space="preserve">Organisation hiérarchisée d’une matrice de mélange</w:t>
            </w:r>
          </w:p>
        </w:tc>
        <w:tc>
          <w:tcPr/>
          <w:p>
            <w:pPr>
              <w:pStyle w:val="Compact"/>
            </w:pPr>
            <w:r>
              <w:t xml:space="preserve">Wolfenstein</w:t>
            </w:r>
          </w:p>
        </w:tc>
      </w:tr>
      <w:tr>
        <w:tc>
          <w:tcPr/>
          <w:p>
            <w:pPr>
              <w:pStyle w:val="Compact"/>
            </w:pPr>
            <w:r>
              <w:t xml:space="preserve">Orientation projective</w:t>
            </w:r>
          </w:p>
        </w:tc>
        <w:tc>
          <w:tcPr/>
          <w:p>
            <w:pPr>
              <w:pStyle w:val="Compact"/>
            </w:pPr>
            <w:r>
              <w:t xml:space="preserve">Projection entre bases physiques</w:t>
            </w:r>
          </w:p>
        </w:tc>
        <w:tc>
          <w:tcPr/>
          <w:p>
            <w:pPr>
              <w:pStyle w:val="Compact"/>
            </w:pPr>
            <w:r>
              <w:t xml:space="preserve">angles PMNS, angles CKM</w:t>
            </w:r>
          </w:p>
        </w:tc>
      </w:tr>
    </w:tbl>
    <w:p>
      <w:pPr>
        <w:pStyle w:val="BodyText"/>
      </w:pPr>
      <w:r>
        <w:t xml:space="preserve">Ce tableau remplace les catégories oscillatoires trop locales.</w:t>
      </w:r>
    </w:p>
    <w:p>
      <w:pPr>
        <w:pStyle w:val="BodyText"/>
      </w:pPr>
      <w:r>
        <w:t xml:space="preserve">Le terme</w:t>
      </w:r>
      <w:r>
        <w:t xml:space="preserve"> </w:t>
      </w:r>
      <w:r>
        <w:t xml:space="preserve">“oscillatoire”</w:t>
      </w:r>
      <w:r>
        <w:t xml:space="preserve"> </w:t>
      </w:r>
      <w:r>
        <w:t xml:space="preserve">reste utile, mais seulement pour spécifier un régime de manifestation, pas pour nommer une famille supérieure.</w:t>
      </w:r>
    </w:p>
    <w:bookmarkEnd w:id="31"/>
    <w:bookmarkStart w:id="32" w:name="intégration-de-ckm"/>
    <w:p>
      <w:pPr>
        <w:pStyle w:val="Heading2"/>
      </w:pPr>
      <w:r>
        <w:t xml:space="preserve">8. Intégration de CKM</w:t>
      </w:r>
    </w:p>
    <w:p>
      <w:pPr>
        <w:pStyle w:val="FirstParagraph"/>
      </w:pPr>
      <w:r>
        <w:t xml:space="preserve">La matrice CKM est intégrée ainsi :</w:t>
      </w:r>
    </w:p>
    <w:p>
      <w:pPr>
        <w:pStyle w:val="BodyText"/>
      </w:pPr>
      <w:r>
        <w:t xml:space="preserve">[</w:t>
      </w:r>
      <w:r>
        <w:t xml:space="preserve"> </w:t>
      </w:r>
      <w:r>
        <w:t xml:space="preserve">V_{</w:t>
      </w:r>
      <w:r>
        <w:t xml:space="preserve">}</w:t>
      </w:r>
      <w:r>
        <w:t xml:space="preserve"> </w:t>
      </w:r>
      <w:r>
        <w:t xml:space="preserve">]</w:t>
      </w:r>
    </w:p>
    <w:p>
      <w:pPr>
        <w:pStyle w:val="BodyText"/>
      </w:pPr>
      <w:r>
        <w:t xml:space="preserve">Famille supérieure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Fonction :</w:t>
      </w:r>
    </w:p>
    <w:p>
      <w:pPr>
        <w:pStyle w:val="BodyText"/>
      </w:pPr>
      <w:r>
        <w:t xml:space="preserve">[</w:t>
      </w:r>
      <w:r>
        <w:t xml:space="preserve"> </w:t>
      </w:r>
      <w:r>
        <w:t xml:space="preserve"> </w:t>
      </w:r>
      <w:r>
        <w:t xml:space="preserve">]</w:t>
      </w:r>
    </w:p>
    <w:p>
      <w:pPr>
        <w:pStyle w:val="BodyText"/>
      </w:pPr>
      <w:r>
        <w:t xml:space="preserve">Régime de définition physique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Régime d’accès épistémique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Statut :</w:t>
      </w:r>
    </w:p>
    <w:p>
      <w:pPr>
        <w:pStyle w:val="BodyText"/>
      </w:pPr>
      <w:r>
        <w:t xml:space="preserve">[</w:t>
      </w:r>
      <w:r>
        <w:t xml:space="preserve"> </w:t>
      </w:r>
      <w:r>
        <w:t xml:space="preserve"> </w:t>
      </w:r>
      <w:r>
        <w:t xml:space="preserve">]</w:t>
      </w:r>
    </w:p>
    <w:p>
      <w:pPr>
        <w:pStyle w:val="BodyText"/>
      </w:pPr>
      <w:r>
        <w:t xml:space="preserve">CKM confirme que l’orientation n’est pas nécessairement oscillatoire. Elle peut être transitionnelle.</w:t>
      </w:r>
    </w:p>
    <w:bookmarkEnd w:id="32"/>
    <w:bookmarkStart w:id="33" w:name="intégration-de-wolfenstein"/>
    <w:p>
      <w:pPr>
        <w:pStyle w:val="Heading2"/>
      </w:pPr>
      <w:r>
        <w:t xml:space="preserve">9. Intégration de Wolfenstein</w:t>
      </w:r>
    </w:p>
    <w:p>
      <w:pPr>
        <w:pStyle w:val="FirstParagraph"/>
      </w:pPr>
      <w:r>
        <w:t xml:space="preserve">Les paramètres de Wolfenstein :</w:t>
      </w:r>
    </w:p>
    <w:p>
      <w:pPr>
        <w:pStyle w:val="BodyText"/>
      </w:pPr>
      <w:r>
        <w:t xml:space="preserve">[</w:t>
      </w:r>
      <w:r>
        <w:t xml:space="preserve"> </w:t>
      </w:r>
      <w:r>
        <w:t xml:space="preserve">,</w:t>
      </w:r>
      <w:r>
        <w:t xml:space="preserve">A,</w:t>
      </w:r>
      <w:r>
        <w:t xml:space="preserve">{</w:t>
      </w:r>
      <w:r>
        <w:t xml:space="preserve">},</w:t>
      </w:r>
      <w:r>
        <w:t xml:space="preserve">{</w:t>
      </w:r>
      <w:r>
        <w:t xml:space="preserve">}</w:t>
      </w:r>
      <w:r>
        <w:t xml:space="preserve"> </w:t>
      </w:r>
      <w:r>
        <w:t xml:space="preserve">]</w:t>
      </w:r>
    </w:p>
    <w:p>
      <w:pPr>
        <w:pStyle w:val="BodyText"/>
      </w:pPr>
      <w:r>
        <w:t xml:space="preserve">sont intégrés ainsi :</w:t>
      </w:r>
    </w:p>
    <w:p>
      <w:pPr>
        <w:pStyle w:val="BodyText"/>
      </w:pPr>
      <w:r>
        <w:t xml:space="preserve">Famille supérieure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Fonction :</w:t>
      </w:r>
    </w:p>
    <w:p>
      <w:pPr>
        <w:pStyle w:val="BodyText"/>
      </w:pPr>
      <w:r>
        <w:t xml:space="preserve">[</w:t>
      </w:r>
      <w:r>
        <w:t xml:space="preserve"> </w:t>
      </w:r>
      <w:r>
        <w:t xml:space="preserve"> </w:t>
      </w:r>
      <w:r>
        <w:t xml:space="preserve">]</w:t>
      </w:r>
    </w:p>
    <w:p>
      <w:pPr>
        <w:pStyle w:val="BodyText"/>
      </w:pPr>
      <w:r>
        <w:t xml:space="preserve">Interprétation :</w:t>
      </w:r>
    </w:p>
    <w:p>
      <w:pPr>
        <w:pStyle w:val="BodyText"/>
      </w:pPr>
      <w:r>
        <w:t xml:space="preserve">[</w:t>
      </w:r>
      <w:r>
        <w:t xml:space="preserve"> </w:t>
      </w:r>
      <w:r>
        <w:t xml:space="preserve"> </w:t>
      </w:r>
      <w:r>
        <w:t xml:space="preserve">]</w:t>
      </w:r>
    </w:p>
    <w:p>
      <w:pPr>
        <w:pStyle w:val="BodyText"/>
      </w:pPr>
      <w:r>
        <w:t xml:space="preserve">joue le rôle de petit paramètre d’expansion,</w:t>
      </w:r>
    </w:p>
    <w:p>
      <w:pPr>
        <w:pStyle w:val="BodyText"/>
      </w:pPr>
      <w:r>
        <w:t xml:space="preserve">[</w:t>
      </w:r>
      <w:r>
        <w:t xml:space="preserve"> </w:t>
      </w:r>
      <w:r>
        <w:t xml:space="preserve">A</w:t>
      </w:r>
      <w:r>
        <w:t xml:space="preserve"> </w:t>
      </w:r>
      <w:r>
        <w:t xml:space="preserve">]</w:t>
      </w:r>
    </w:p>
    <w:p>
      <w:pPr>
        <w:pStyle w:val="BodyText"/>
      </w:pPr>
      <w:r>
        <w:t xml:space="preserve">module le mélange vers la troisième génération,</w:t>
      </w:r>
    </w:p>
    <w:p>
      <w:pPr>
        <w:pStyle w:val="BodyText"/>
      </w:pPr>
      <w:r>
        <w:t xml:space="preserve">[</w:t>
      </w:r>
      <w:r>
        <w:t xml:space="preserve"> </w:t>
      </w:r>
      <w:r>
        <w:t xml:space="preserve">{</w:t>
      </w:r>
      <w:r>
        <w:t xml:space="preserve">},</w:t>
      </w:r>
      <w:r>
        <w:t xml:space="preserve">{</w:t>
      </w:r>
      <w:r>
        <w:t xml:space="preserve">}</w:t>
      </w:r>
      <w:r>
        <w:t xml:space="preserve"> </w:t>
      </w:r>
      <w:r>
        <w:t xml:space="preserve">]</w:t>
      </w:r>
    </w:p>
    <w:p>
      <w:pPr>
        <w:pStyle w:val="BodyText"/>
      </w:pPr>
      <w:r>
        <w:t xml:space="preserve">localisent la géométrie du triangle d’unitarité et la composante CP.</w:t>
      </w:r>
    </w:p>
    <w:p>
      <w:pPr>
        <w:pStyle w:val="BodyText"/>
      </w:pPr>
      <w:r>
        <w:t xml:space="preserve">Ces paramètres ne produisent pas une nouvelle famille. Ils sont des coordonnées compactes d’une orientation déjà classée.</w:t>
      </w:r>
    </w:p>
    <w:bookmarkEnd w:id="33"/>
    <w:bookmarkStart w:id="34" w:name="révision-des-catégories-neutrino"/>
    <w:p>
      <w:pPr>
        <w:pStyle w:val="Heading2"/>
      </w:pPr>
      <w:r>
        <w:t xml:space="preserve">10. Révision des catégories neutrino</w:t>
      </w:r>
    </w:p>
    <w:p>
      <w:pPr>
        <w:pStyle w:val="FirstParagraph"/>
      </w:pPr>
      <w:r>
        <w:t xml:space="preserve">Le cycle CKM oblige à reformuler les catégories issues du cycle neutrino.</w:t>
      </w:r>
    </w:p>
    <w:p>
      <w:pPr>
        <w:pStyle w:val="BodyText"/>
      </w:pPr>
      <w:r>
        <w:t xml:space="preserve">Ancienne formulation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Nouvelle formulation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Ancienne catégorie</w:t>
            </w:r>
          </w:p>
        </w:tc>
        <w:tc>
          <w:tcPr/>
          <w:p>
            <w:pPr>
              <w:pStyle w:val="Compact"/>
            </w:pPr>
            <w:r>
              <w:t xml:space="preserve">Nouvelle lecture v0.4</w:t>
            </w:r>
          </w:p>
        </w:tc>
      </w:tr>
      <w:tr>
        <w:tc>
          <w:tcPr/>
          <w:p>
            <w:pPr>
              <w:pStyle w:val="Compact"/>
            </w:pPr>
            <w:r>
              <w:t xml:space="preserve">Projection oscillatoire</w:t>
            </w:r>
          </w:p>
        </w:tc>
        <w:tc>
          <w:tcPr/>
          <w:p>
            <w:pPr>
              <w:pStyle w:val="Compact"/>
            </w:pPr>
            <w:r>
              <w:t xml:space="preserve">Orientation de saveur à manifestation oscillatoire</w:t>
            </w:r>
          </w:p>
        </w:tc>
      </w:tr>
      <w:tr>
        <w:tc>
          <w:tcPr/>
          <w:p>
            <w:pPr>
              <w:pStyle w:val="Compact"/>
            </w:pPr>
            <w:r>
              <w:t xml:space="preserve">Phase d’asymétrie oscillatoire</w:t>
            </w:r>
          </w:p>
        </w:tc>
        <w:tc>
          <w:tcPr/>
          <w:p>
            <w:pPr>
              <w:pStyle w:val="Compact"/>
            </w:pPr>
            <w:r>
              <w:t xml:space="preserve">Orientation complexe CP dans un régime oscillatoire</w:t>
            </w:r>
          </w:p>
        </w:tc>
      </w:tr>
      <w:tr>
        <w:tc>
          <w:tcPr/>
          <w:p>
            <w:pPr>
              <w:pStyle w:val="Compact"/>
            </w:pPr>
            <w:r>
              <w:t xml:space="preserve">Phase oscillatoire (</w:t>
            </w:r>
            <w:r>
              <w:t xml:space="preserve">m^2)</w:t>
            </w:r>
          </w:p>
        </w:tc>
        <w:tc>
          <w:tcPr/>
          <w:p>
            <w:pPr>
              <w:pStyle w:val="Compact"/>
            </w:pPr>
            <w:r>
              <w:t xml:space="preserve">Manifestation oscillatoire d’une différence spectrale</w:t>
            </w:r>
          </w:p>
        </w:tc>
      </w:tr>
      <w:tr>
        <w:tc>
          <w:tcPr/>
          <w:p>
            <w:pPr>
              <w:pStyle w:val="Compact"/>
            </w:pPr>
            <w:r>
              <w:t xml:space="preserve">Angles PMNS</w:t>
            </w:r>
          </w:p>
        </w:tc>
        <w:tc>
          <w:tcPr/>
          <w:p>
            <w:pPr>
              <w:pStyle w:val="Compact"/>
            </w:pPr>
            <w:r>
              <w:t xml:space="preserve">Paramètres d’orientation entre saveur et masse</w:t>
            </w:r>
          </w:p>
        </w:tc>
      </w:tr>
      <w:tr>
        <w:tc>
          <w:tcPr/>
          <w:p>
            <w:pPr>
              <w:pStyle w:val="Compact"/>
            </w:pPr>
            <w:r>
              <w:t xml:space="preserve">(</w:t>
            </w:r>
            <w:r>
              <w:t xml:space="preserve">_{</w:t>
            </w:r>
            <w:r>
              <w:t xml:space="preserve">})</w:t>
            </w:r>
          </w:p>
        </w:tc>
        <w:tc>
          <w:tcPr/>
          <w:p>
            <w:pPr>
              <w:pStyle w:val="Compact"/>
            </w:pPr>
            <w:r>
              <w:t xml:space="preserve">Phase complexe d’orientation CP</w:t>
            </w:r>
          </w:p>
        </w:tc>
      </w:tr>
      <w:tr>
        <w:tc>
          <w:tcPr/>
          <w:p>
            <w:pPr>
              <w:pStyle w:val="Compact"/>
            </w:pPr>
            <w:r>
              <w:t xml:space="preserve">Masse absolue neutrino</w:t>
            </w:r>
          </w:p>
        </w:tc>
        <w:tc>
          <w:tcPr/>
          <w:p>
            <w:pPr>
              <w:pStyle w:val="Compact"/>
            </w:pPr>
            <w:r>
              <w:t xml:space="preserve">Seuil spectral, non orientation</w:t>
            </w:r>
          </w:p>
        </w:tc>
      </w:tr>
    </w:tbl>
    <w:p>
      <w:pPr>
        <w:pStyle w:val="BodyText"/>
      </w:pPr>
      <w:r>
        <w:t xml:space="preserve">Cette révision clarifie un point décisif :</w:t>
      </w:r>
    </w:p>
    <w:p>
      <w:pPr>
        <w:pStyle w:val="BodyText"/>
      </w:pPr>
      <w:r>
        <w:t xml:space="preserve">[</w:t>
      </w:r>
      <w:r>
        <w:t xml:space="preserve"> </w:t>
      </w:r>
      <w:r>
        <w:t xml:space="preserve">m^2</w:t>
      </w:r>
      <w:r>
        <w:t xml:space="preserve"> </w:t>
      </w:r>
      <w:r>
        <w:t xml:space="preserve">]</w:t>
      </w:r>
    </w:p>
    <w:p>
      <w:pPr>
        <w:pStyle w:val="BodyText"/>
      </w:pPr>
      <w:r>
        <w:t xml:space="preserve">ne relève pas principalement de l’orientation. C’est une différence spectrale dont l’effet observable est un déphasage oscillatoire.</w:t>
      </w:r>
    </w:p>
    <w:bookmarkEnd w:id="34"/>
    <w:bookmarkStart w:id="35" w:name="place-révisée-de-m2"/>
    <w:p>
      <w:pPr>
        <w:pStyle w:val="Heading2"/>
      </w:pPr>
      <w:r>
        <w:t xml:space="preserve">11. Place révisée de (</w:t>
      </w:r>
      <w:r>
        <w:t xml:space="preserve">m^2)</w:t>
      </w:r>
    </w:p>
    <w:p>
      <w:pPr>
        <w:pStyle w:val="FirstParagraph"/>
      </w:pPr>
      <w:r>
        <w:t xml:space="preserve">Les différences de masses au carré :</w:t>
      </w:r>
    </w:p>
    <w:p>
      <w:pPr>
        <w:pStyle w:val="BodyText"/>
      </w:pPr>
      <w:r>
        <w:t xml:space="preserve">[</w:t>
      </w:r>
      <w:r>
        <w:t xml:space="preserve"> </w:t>
      </w:r>
      <w:r>
        <w:t xml:space="preserve">m</w:t>
      </w:r>
      <w:r>
        <w:rPr>
          <w:vertAlign w:val="superscript"/>
        </w:rPr>
        <w:t xml:space="preserve">2_{21},</w:t>
      </w:r>
      <w:r>
        <w:rPr>
          <w:vertAlign w:val="superscript"/>
        </w:rPr>
        <w:t xml:space="preserve">m</w:t>
      </w:r>
      <w:r>
        <w:t xml:space="preserve">2_{3</w:t>
      </w:r>
      <w:r>
        <w:t xml:space="preserve">}</w:t>
      </w:r>
      <w:r>
        <w:t xml:space="preserve"> </w:t>
      </w:r>
      <w:r>
        <w:t xml:space="preserve">]</w:t>
      </w:r>
    </w:p>
    <w:p>
      <w:pPr>
        <w:pStyle w:val="BodyText"/>
      </w:pPr>
      <w:r>
        <w:t xml:space="preserve">sont désormais classées ainsi :</w:t>
      </w:r>
    </w:p>
    <w:p>
      <w:pPr>
        <w:pStyle w:val="BodyText"/>
      </w:pPr>
      <w:r>
        <w:t xml:space="preserve">Famille supérieure principale :</w:t>
      </w:r>
    </w:p>
    <w:p>
      <w:pPr>
        <w:pStyle w:val="BodyText"/>
      </w:pPr>
      <w:r>
        <w:t xml:space="preserve">[</w:t>
      </w:r>
      <w:r>
        <w:t xml:space="preserve"> </w:t>
      </w:r>
      <w:r>
        <w:t xml:space="preserve"> </w:t>
      </w:r>
      <w:r>
        <w:t xml:space="preserve">]</w:t>
      </w:r>
    </w:p>
    <w:p>
      <w:pPr>
        <w:pStyle w:val="BodyText"/>
      </w:pPr>
      <w:r>
        <w:t xml:space="preserve">ou plus précisément :</w:t>
      </w:r>
    </w:p>
    <w:p>
      <w:pPr>
        <w:pStyle w:val="BodyText"/>
      </w:pPr>
      <w:r>
        <w:t xml:space="preserve">[</w:t>
      </w:r>
      <w:r>
        <w:t xml:space="preserve"> </w:t>
      </w:r>
      <w:r>
        <w:t xml:space="preserve"> </w:t>
      </w:r>
      <w:r>
        <w:t xml:space="preserve">]</w:t>
      </w:r>
    </w:p>
    <w:p>
      <w:pPr>
        <w:pStyle w:val="BodyText"/>
      </w:pPr>
      <w:r>
        <w:t xml:space="preserve">Sous-type phénoménologique :</w:t>
      </w:r>
    </w:p>
    <w:p>
      <w:pPr>
        <w:pStyle w:val="BodyText"/>
      </w:pPr>
      <w:r>
        <w:t xml:space="preserve">[</w:t>
      </w:r>
      <w:r>
        <w:t xml:space="preserve"> </w:t>
      </w:r>
      <w:r>
        <w:t xml:space="preserve"> </w:t>
      </w:r>
      <w:r>
        <w:t xml:space="preserve">]</w:t>
      </w:r>
    </w:p>
    <w:p>
      <w:pPr>
        <w:pStyle w:val="BodyText"/>
      </w:pPr>
      <w:r>
        <w:t xml:space="preserve">Fonction :</w:t>
      </w:r>
    </w:p>
    <w:p>
      <w:pPr>
        <w:pStyle w:val="BodyText"/>
      </w:pPr>
      <w:r>
        <w:t xml:space="preserve">[</w:t>
      </w:r>
      <w:r>
        <w:t xml:space="preserve"> </w:t>
      </w:r>
      <w:r>
        <w:t xml:space="preserve"> </w:t>
      </w:r>
      <w:r>
        <w:t xml:space="preserve">]</w:t>
      </w:r>
    </w:p>
    <w:p>
      <w:pPr>
        <w:pStyle w:val="BodyText"/>
      </w:pPr>
      <w:r>
        <w:t xml:space="preserve">Cette correction est importante : elle évite de ranger toutes les grandeurs neutrino dans Orientation.</w:t>
      </w:r>
    </w:p>
    <w:p>
      <w:pPr>
        <w:pStyle w:val="BodyText"/>
      </w:pPr>
      <w:r>
        <w:t xml:space="preserve">PMNS oriente.</w:t>
      </w:r>
    </w:p>
    <w:p>
      <w:pPr>
        <w:pStyle w:val="BodyText"/>
      </w:pPr>
      <w:r>
        <w:t xml:space="preserve">[</w:t>
      </w:r>
      <w:r>
        <w:t xml:space="preserve"> </w:t>
      </w:r>
      <w:r>
        <w:t xml:space="preserve">m^2</w:t>
      </w:r>
      <w:r>
        <w:t xml:space="preserve"> </w:t>
      </w:r>
      <w:r>
        <w:t xml:space="preserve">]</w:t>
      </w:r>
    </w:p>
    <w:p>
      <w:pPr>
        <w:pStyle w:val="BodyText"/>
      </w:pPr>
      <w:r>
        <w:t xml:space="preserve">déphase.</w:t>
      </w:r>
    </w:p>
    <w:p>
      <w:pPr>
        <w:pStyle w:val="BodyText"/>
      </w:pPr>
      <w:r>
        <w:t xml:space="preserve">La masse absolue ancre le spectre.</w:t>
      </w:r>
    </w:p>
    <w:p>
      <w:pPr>
        <w:pStyle w:val="BodyText"/>
      </w:pPr>
      <w:r>
        <w:t xml:space="preserve">Ces trois fonctions doivent rester distinctes.</w:t>
      </w:r>
    </w:p>
    <w:bookmarkEnd w:id="35"/>
    <w:bookmarkStart w:id="36" w:name="place-révisée-de-pmns"/>
    <w:p>
      <w:pPr>
        <w:pStyle w:val="Heading2"/>
      </w:pPr>
      <w:r>
        <w:t xml:space="preserve">12. Place révisée de PMNS</w:t>
      </w:r>
    </w:p>
    <w:p>
      <w:pPr>
        <w:pStyle w:val="FirstParagraph"/>
      </w:pPr>
      <w:r>
        <w:t xml:space="preserve">La matrice PMNS est désormais lue ainsi :</w:t>
      </w:r>
    </w:p>
    <w:p>
      <w:pPr>
        <w:pStyle w:val="BodyText"/>
      </w:pPr>
      <w:r>
        <w:t xml:space="preserve">Famille supérieure :</w:t>
      </w:r>
    </w:p>
    <w:p>
      <w:pPr>
        <w:pStyle w:val="BodyText"/>
      </w:pPr>
      <w:r>
        <w:t xml:space="preserve">[</w:t>
      </w:r>
      <w:r>
        <w:t xml:space="preserve"> </w:t>
      </w:r>
      <w:r>
        <w:t xml:space="preserve"> </w:t>
      </w:r>
      <w:r>
        <w:t xml:space="preserve">]</w:t>
      </w:r>
    </w:p>
    <w:p>
      <w:pPr>
        <w:pStyle w:val="BodyText"/>
      </w:pPr>
      <w:r>
        <w:t xml:space="preserve">Sous-type :</w:t>
      </w:r>
    </w:p>
    <w:p>
      <w:pPr>
        <w:pStyle w:val="BodyText"/>
      </w:pPr>
      <w:r>
        <w:t xml:space="preserve">[</w:t>
      </w:r>
      <w:r>
        <w:t xml:space="preserve"> </w:t>
      </w:r>
      <w:r>
        <w:t xml:space="preserve"> </w:t>
      </w:r>
      <w:r>
        <w:t xml:space="preserve">]</w:t>
      </w:r>
    </w:p>
    <w:p>
      <w:pPr>
        <w:pStyle w:val="BodyText"/>
      </w:pPr>
      <w:r>
        <w:t xml:space="preserve">Fonction :</w:t>
      </w:r>
    </w:p>
    <w:p>
      <w:pPr>
        <w:pStyle w:val="BodyText"/>
      </w:pPr>
      <w:r>
        <w:t xml:space="preserve">[</w:t>
      </w:r>
      <w:r>
        <w:t xml:space="preserve"> </w:t>
      </w:r>
      <w:r>
        <w:t xml:space="preserve"> </w:t>
      </w:r>
      <w:r>
        <w:t xml:space="preserve">]</w:t>
      </w:r>
    </w:p>
    <w:p>
      <w:pPr>
        <w:pStyle w:val="BodyText"/>
      </w:pPr>
      <w:r>
        <w:t xml:space="preserve">Régime de manifestation :</w:t>
      </w:r>
    </w:p>
    <w:p>
      <w:pPr>
        <w:pStyle w:val="BodyText"/>
      </w:pPr>
      <w:r>
        <w:t xml:space="preserve">[</w:t>
      </w:r>
      <w:r>
        <w:t xml:space="preserve"> </w:t>
      </w:r>
      <w:r>
        <w:t xml:space="preserve"> </w:t>
      </w:r>
      <w:r>
        <w:t xml:space="preserve">]</w:t>
      </w:r>
    </w:p>
    <w:p>
      <w:pPr>
        <w:pStyle w:val="BodyText"/>
      </w:pPr>
      <w:r>
        <w:t xml:space="preserve">La phase (</w:t>
      </w:r>
      <w:r>
        <w:t xml:space="preserve">_{</w:t>
      </w:r>
      <w:r>
        <w:t xml:space="preserve">}) est un sous-type transversal :</w:t>
      </w:r>
    </w:p>
    <w:p>
      <w:pPr>
        <w:pStyle w:val="BodyText"/>
      </w:pPr>
      <w:r>
        <w:t xml:space="preserve">[</w:t>
      </w:r>
      <w:r>
        <w:t xml:space="preserve"> </w:t>
      </w:r>
      <w:r>
        <w:t xml:space="preserve"> </w:t>
      </w:r>
      <w:r>
        <w:t xml:space="preserve">]</w:t>
      </w:r>
    </w:p>
    <w:p>
      <w:pPr>
        <w:pStyle w:val="BodyText"/>
      </w:pPr>
      <w:r>
        <w:t xml:space="preserve">dans le régime oscillatoire.</w:t>
      </w:r>
    </w:p>
    <w:p>
      <w:pPr>
        <w:pStyle w:val="BodyText"/>
      </w:pPr>
      <w:r>
        <w:t xml:space="preserve">La catégorie</w:t>
      </w:r>
      <w:r>
        <w:t xml:space="preserve"> </w:t>
      </w:r>
      <w:r>
        <w:t xml:space="preserve">“oscillatoire”</w:t>
      </w:r>
      <w:r>
        <w:t xml:space="preserve"> </w:t>
      </w:r>
      <w:r>
        <w:t xml:space="preserve">est donc conservée, mais comme spécification de manifestation.</w:t>
      </w:r>
    </w:p>
    <w:bookmarkEnd w:id="36"/>
    <w:bookmarkStart w:id="37" w:name="place-révisée-de-_w"/>
    <w:p>
      <w:pPr>
        <w:pStyle w:val="Heading2"/>
      </w:pPr>
      <w:r>
        <w:t xml:space="preserve">13. Place révisée de (</w:t>
      </w:r>
      <w:r>
        <w:t xml:space="preserve">_W)</w:t>
      </w:r>
    </w:p>
    <w:p>
      <w:pPr>
        <w:pStyle w:val="FirstParagraph"/>
      </w:pPr>
      <w:r>
        <w:t xml:space="preserve">L’angle faible :</w:t>
      </w:r>
    </w:p>
    <w:p>
      <w:pPr>
        <w:pStyle w:val="BodyText"/>
      </w:pPr>
      <w:r>
        <w:t xml:space="preserve">[</w:t>
      </w:r>
      <w:r>
        <w:t xml:space="preserve"> </w:t>
      </w:r>
      <w:r>
        <w:t xml:space="preserve">_W</w:t>
      </w:r>
      <w:r>
        <w:t xml:space="preserve"> </w:t>
      </w:r>
      <w:r>
        <w:t xml:space="preserve">]</w:t>
      </w:r>
    </w:p>
    <w:p>
      <w:pPr>
        <w:pStyle w:val="BodyText"/>
      </w:pPr>
      <w:r>
        <w:t xml:space="preserve">reste dans la famille Orientation, mais avec un sous-type différent :</w:t>
      </w:r>
    </w:p>
    <w:p>
      <w:pPr>
        <w:pStyle w:val="BodyText"/>
      </w:pPr>
      <w:r>
        <w:t xml:space="preserve">[</w:t>
      </w:r>
      <w:r>
        <w:t xml:space="preserve"> </w:t>
      </w:r>
      <w:r>
        <w:t xml:space="preserve"> </w:t>
      </w:r>
      <w:r>
        <w:t xml:space="preserve">]</w:t>
      </w:r>
    </w:p>
    <w:p>
      <w:pPr>
        <w:pStyle w:val="BodyText"/>
      </w:pPr>
      <w:r>
        <w:t xml:space="preserve">Il ne concerne pas une orientation de saveur, mais un mélange entre champs électrofaibles neutres.</w:t>
      </w:r>
    </w:p>
    <w:p>
      <w:pPr>
        <w:pStyle w:val="BodyText"/>
      </w:pPr>
      <w:r>
        <w:t xml:space="preserve">Sa fonction est :</w:t>
      </w:r>
    </w:p>
    <w:p>
      <w:pPr>
        <w:pStyle w:val="BodyText"/>
      </w:pPr>
      <w:r>
        <w:t xml:space="preserve">[</w:t>
      </w:r>
      <w:r>
        <w:t xml:space="preserve"> </w:t>
      </w:r>
      <w:r>
        <w:t xml:space="preserve"> </w:t>
      </w:r>
      <w:r>
        <w:t xml:space="preserve">B_</w:t>
      </w:r>
      <w:r>
        <w:t xml:space="preserve"> </w:t>
      </w:r>
      <w:r>
        <w:t xml:space="preserve">W_</w:t>
      </w:r>
      <w:r>
        <w:t xml:space="preserve">^3</w:t>
      </w:r>
      <w:r>
        <w:t xml:space="preserve"> </w:t>
      </w:r>
      <w:r>
        <w:t xml:space="preserve">]</w:t>
      </w:r>
    </w:p>
    <w:p>
      <w:pPr>
        <w:pStyle w:val="BodyText"/>
      </w:pPr>
      <w:r>
        <w:t xml:space="preserve">pour produire :</w:t>
      </w:r>
    </w:p>
    <w:p>
      <w:pPr>
        <w:pStyle w:val="BodyText"/>
      </w:pPr>
      <w:r>
        <w:t xml:space="preserve">[</w:t>
      </w:r>
      <w:r>
        <w:t xml:space="preserve"> </w:t>
      </w:r>
      <w:r>
        <w:t xml:space="preserve">A_</w:t>
      </w:r>
      <w:r>
        <w:t xml:space="preserve"> </w:t>
      </w:r>
      <w:r>
        <w:t xml:space="preserve">]</w:t>
      </w:r>
    </w:p>
    <w:p>
      <w:pPr>
        <w:pStyle w:val="BodyText"/>
      </w:pPr>
      <w:r>
        <w:t xml:space="preserve">et :</w:t>
      </w:r>
    </w:p>
    <w:p>
      <w:pPr>
        <w:pStyle w:val="BodyText"/>
      </w:pPr>
      <w:r>
        <w:t xml:space="preserve">[</w:t>
      </w:r>
      <w:r>
        <w:t xml:space="preserve"> </w:t>
      </w:r>
      <w:r>
        <w:t xml:space="preserve">Z_</w:t>
      </w:r>
      <w:r>
        <w:t xml:space="preserve"> </w:t>
      </w:r>
      <w:r>
        <w:t xml:space="preserve">]</w:t>
      </w:r>
    </w:p>
    <w:p>
      <w:pPr>
        <w:pStyle w:val="BodyText"/>
      </w:pPr>
      <w:r>
        <w:t xml:space="preserve">La famille Orientation devient ainsi plus générale : elle ne couvre pas seulement les saveurs, mais tout désalignement stable entre bases physiques.</w:t>
      </w:r>
    </w:p>
    <w:bookmarkEnd w:id="37"/>
    <w:bookmarkStart w:id="38" w:name="X96fb029b61e9f2758ebc667031fbb7c6bcd9c76"/>
    <w:p>
      <w:pPr>
        <w:pStyle w:val="Heading2"/>
      </w:pPr>
      <w:r>
        <w:t xml:space="preserve">14. Relation entre CKM et secteur Higgs/Yukawa</w:t>
      </w:r>
    </w:p>
    <w:p>
      <w:pPr>
        <w:pStyle w:val="FirstParagraph"/>
      </w:pPr>
      <w:r>
        <w:t xml:space="preserve">CKM renforce la nécessité de compresser le secteur Higgs/Yukawa.</w:t>
      </w:r>
    </w:p>
    <w:p>
      <w:pPr>
        <w:pStyle w:val="BodyText"/>
      </w:pPr>
      <w:r>
        <w:t xml:space="preserve">Dans le Modèle standard :</w:t>
      </w:r>
    </w:p>
    <w:p>
      <w:pPr>
        <w:pStyle w:val="BodyText"/>
      </w:pPr>
      <w:r>
        <w:t xml:space="preserve">[</w:t>
      </w:r>
      <w:r>
        <w:t xml:space="preserve"> </w:t>
      </w:r>
      <w:r>
        <w:t xml:space="preserve">v</w:t>
      </w:r>
      <w:r>
        <w:t xml:space="preserve"> </w:t>
      </w:r>
      <w:r>
        <w:t xml:space="preserve">]</w:t>
      </w:r>
    </w:p>
    <w:p>
      <w:pPr>
        <w:pStyle w:val="BodyText"/>
      </w:pPr>
      <w:r>
        <w:t xml:space="preserve">fixe l’échelle électrofaible,</w:t>
      </w:r>
    </w:p>
    <w:p>
      <w:pPr>
        <w:pStyle w:val="BodyText"/>
      </w:pPr>
      <w:r>
        <w:t xml:space="preserve">[</w:t>
      </w:r>
      <w:r>
        <w:t xml:space="preserve"> </w:t>
      </w:r>
      <w:r>
        <w:t xml:space="preserve">Y_u,</w:t>
      </w:r>
      <w:r>
        <w:t xml:space="preserve">Y_d</w:t>
      </w:r>
      <w:r>
        <w:t xml:space="preserve"> </w:t>
      </w:r>
      <w:r>
        <w:t xml:space="preserve">]</w:t>
      </w:r>
    </w:p>
    <w:p>
      <w:pPr>
        <w:pStyle w:val="BodyText"/>
      </w:pPr>
      <w:r>
        <w:t xml:space="preserve">sont les matrices de Yukawa du secteur quark,</w:t>
      </w:r>
    </w:p>
    <w:p>
      <w:pPr>
        <w:pStyle w:val="BodyText"/>
      </w:pPr>
      <w:r>
        <w:t xml:space="preserve">leur diagonalisation donne les masses de quarks,</w:t>
      </w:r>
    </w:p>
    <w:p>
      <w:pPr>
        <w:pStyle w:val="BodyText"/>
      </w:pPr>
      <w:r>
        <w:t xml:space="preserve">et le désalignement entre les rotations nécessaires dans les secteurs up et down produit :</w:t>
      </w:r>
    </w:p>
    <w:p>
      <w:pPr>
        <w:pStyle w:val="BodyText"/>
      </w:pPr>
      <w:r>
        <w:t xml:space="preserve">[</w:t>
      </w:r>
      <w:r>
        <w:t xml:space="preserve"> </w:t>
      </w:r>
      <w:r>
        <w:t xml:space="preserve">V_{</w:t>
      </w:r>
      <w:r>
        <w:t xml:space="preserve">}</w:t>
      </w:r>
      <w:r>
        <w:t xml:space="preserve"> </w:t>
      </w:r>
      <w:r>
        <w:t xml:space="preserve">]</w:t>
      </w:r>
    </w:p>
    <w:p>
      <w:pPr>
        <w:pStyle w:val="BodyText"/>
      </w:pPr>
      <w:r>
        <w:t xml:space="preserve">La lecture correcte est donc architecturale :</w:t>
      </w:r>
    </w:p>
    <w:p>
      <w:pPr>
        <w:pStyle w:val="BodyText"/>
      </w:pPr>
      <w:r>
        <w:t xml:space="preserve">[</w:t>
      </w:r>
      <w:r>
        <w:t xml:space="preserve"> </w:t>
      </w:r>
    </w:p>
    <w:p>
      <w:pPr>
        <w:pStyle w:val="Compact"/>
        <w:numPr>
          <w:ilvl w:val="0"/>
          <w:numId w:val="1001"/>
        </w:numPr>
      </w:pPr>
      <w:r>
        <w:t xml:space="preserve">]</w:t>
      </w:r>
    </w:p>
    <w:p>
      <w:pPr>
        <w:pStyle w:val="FirstParagraph"/>
      </w:pPr>
      <w:r>
        <w:t xml:space="preserve">Le secteur Higgs/Yukawa ne doit donc pas être fragmenté en familles indépendantes trop locales. Il doit être lu comme une combinaison de familles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Cette conclusion prépare une future compression du secteur de la saveur.</w:t>
      </w:r>
    </w:p>
    <w:bookmarkEnd w:id="38"/>
    <w:bookmarkStart w:id="39" w:name="carte-compressée-v0.4"/>
    <w:p>
      <w:pPr>
        <w:pStyle w:val="Heading2"/>
      </w:pPr>
      <w:r>
        <w:t xml:space="preserve">15. Carte compressée v0.4</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Famille supérieure</w:t>
            </w:r>
          </w:p>
        </w:tc>
        <w:tc>
          <w:tcPr/>
          <w:p>
            <w:pPr>
              <w:pStyle w:val="Compact"/>
            </w:pPr>
            <w:r>
              <w:t xml:space="preserve">Sous-types confirmés</w:t>
            </w:r>
          </w:p>
        </w:tc>
        <w:tc>
          <w:tcPr/>
          <w:p>
            <w:pPr>
              <w:pStyle w:val="Compact"/>
            </w:pPr>
            <w:r>
              <w:t xml:space="preserve">Exemples</w:t>
            </w:r>
          </w:p>
        </w:tc>
      </w:tr>
      <w:tr>
        <w:tc>
          <w:tcPr/>
          <w:p>
            <w:pPr>
              <w:pStyle w:val="Compact"/>
            </w:pPr>
            <w:r>
              <w:t xml:space="preserve">Couplage</w:t>
            </w:r>
          </w:p>
        </w:tc>
        <w:tc>
          <w:tcPr/>
          <w:p>
            <w:pPr>
              <w:pStyle w:val="Compact"/>
            </w:pPr>
            <w:r>
              <w:t xml:space="preserve">stabilisé, courant, différenciateur</w:t>
            </w:r>
          </w:p>
        </w:tc>
        <w:tc>
          <w:tcPr/>
          <w:p>
            <w:pPr>
              <w:pStyle w:val="Compact"/>
            </w:pPr>
            <w:r>
              <w:t xml:space="preserve">(</w:t>
            </w:r>
            <w:r>
              <w:t xml:space="preserve">), (</w:t>
            </w:r>
            <w:r>
              <w:t xml:space="preserve">_s), (y_f)</w:t>
            </w:r>
          </w:p>
        </w:tc>
      </w:tr>
      <w:tr>
        <w:tc>
          <w:tcPr/>
          <w:p>
            <w:pPr>
              <w:pStyle w:val="Compact"/>
            </w:pPr>
            <w:r>
              <w:t xml:space="preserve">Échelle</w:t>
            </w:r>
          </w:p>
        </w:tc>
        <w:tc>
          <w:tcPr/>
          <w:p>
            <w:pPr>
              <w:pStyle w:val="Compact"/>
            </w:pPr>
            <w:r>
              <w:t xml:space="preserve">structurante, dynamique, hiérarchique</w:t>
            </w:r>
          </w:p>
        </w:tc>
        <w:tc>
          <w:tcPr/>
          <w:p>
            <w:pPr>
              <w:pStyle w:val="Compact"/>
            </w:pPr>
            <w:r>
              <w:t xml:space="preserve">(v), (</w:t>
            </w:r>
            <w:r>
              <w:rPr>
                <w:i/>
                <w:iCs/>
              </w:rPr>
              <w:t xml:space="preserve">{</w:t>
            </w:r>
            <w:r>
              <w:rPr>
                <w:i/>
                <w:iCs/>
              </w:rPr>
              <w:t xml:space="preserve">}), (M</w:t>
            </w:r>
            <w:r>
              <w:t xml:space="preserve">{</w:t>
            </w:r>
            <w:r>
              <w:t xml:space="preserve">})</w:t>
            </w:r>
          </w:p>
        </w:tc>
      </w:tr>
      <w:tr>
        <w:tc>
          <w:tcPr/>
          <w:p>
            <w:pPr>
              <w:pStyle w:val="Compact"/>
            </w:pPr>
            <w:r>
              <w:t xml:space="preserve">Relation</w:t>
            </w:r>
          </w:p>
        </w:tc>
        <w:tc>
          <w:tcPr/>
          <w:p>
            <w:pPr>
              <w:pStyle w:val="Compact"/>
            </w:pPr>
            <w:r>
              <w:t xml:space="preserve">stratifiée, compositionnelle, spectrale</w:t>
            </w:r>
          </w:p>
        </w:tc>
        <w:tc>
          <w:tcPr/>
          <w:p>
            <w:pPr>
              <w:pStyle w:val="Compact"/>
            </w:pPr>
            <w:r>
              <w:t xml:space="preserve">(m_p/m_e), (R), (</w:t>
            </w:r>
            <w:r>
              <w:t xml:space="preserve">m^2)</w:t>
            </w:r>
          </w:p>
        </w:tc>
      </w:tr>
      <w:tr>
        <w:tc>
          <w:tcPr/>
          <w:p>
            <w:pPr>
              <w:pStyle w:val="Compact"/>
            </w:pPr>
            <w:r>
              <w:t xml:space="preserve">Raccordement</w:t>
            </w:r>
          </w:p>
        </w:tc>
        <w:tc>
          <w:tcPr/>
          <w:p>
            <w:pPr>
              <w:pStyle w:val="Compact"/>
            </w:pPr>
            <w:r>
              <w:t xml:space="preserve">effectif, basse énergie, EFT</w:t>
            </w:r>
          </w:p>
        </w:tc>
        <w:tc>
          <w:tcPr/>
          <w:p>
            <w:pPr>
              <w:pStyle w:val="Compact"/>
            </w:pPr>
            <w:r>
              <w:t xml:space="preserve">(G_F)</w:t>
            </w:r>
          </w:p>
        </w:tc>
      </w:tr>
      <w:tr>
        <w:tc>
          <w:tcPr/>
          <w:p>
            <w:pPr>
              <w:pStyle w:val="Compact"/>
            </w:pPr>
            <w:r>
              <w:t xml:space="preserve">Orientation</w:t>
            </w:r>
          </w:p>
        </w:tc>
        <w:tc>
          <w:tcPr/>
          <w:p>
            <w:pPr>
              <w:pStyle w:val="Compact"/>
            </w:pPr>
            <w:r>
              <w:t xml:space="preserve">jauge, saveur oscillatoire, saveur transitionnelle, complexe CP, hiérarchique</w:t>
            </w:r>
          </w:p>
        </w:tc>
        <w:tc>
          <w:tcPr/>
          <w:p>
            <w:pPr>
              <w:pStyle w:val="Compact"/>
            </w:pPr>
            <w:r>
              <w:t xml:space="preserve">(</w:t>
            </w:r>
            <w:r>
              <w:t xml:space="preserve">_W), PMNS, CKM, Wolfenstein</w:t>
            </w:r>
          </w:p>
        </w:tc>
      </w:tr>
      <w:tr>
        <w:tc>
          <w:tcPr/>
          <w:p>
            <w:pPr>
              <w:pStyle w:val="Compact"/>
            </w:pPr>
            <w:r>
              <w:t xml:space="preserve">Fond</w:t>
            </w:r>
          </w:p>
        </w:tc>
        <w:tc>
          <w:tcPr/>
          <w:p>
            <w:pPr>
              <w:pStyle w:val="Compact"/>
            </w:pPr>
            <w:r>
              <w:t xml:space="preserve">cosmologique, global</w:t>
            </w:r>
          </w:p>
        </w:tc>
        <w:tc>
          <w:tcPr/>
          <w:p>
            <w:pPr>
              <w:pStyle w:val="Compact"/>
            </w:pPr>
            <w:r>
              <w:t xml:space="preserve">(</w:t>
            </w:r>
            <w:r>
              <w:t xml:space="preserve">)</w:t>
            </w:r>
          </w:p>
        </w:tc>
      </w:tr>
      <w:tr>
        <w:tc>
          <w:tcPr/>
          <w:p>
            <w:pPr>
              <w:pStyle w:val="Compact"/>
            </w:pPr>
            <w:r>
              <w:t xml:space="preserve">Seuil</w:t>
            </w:r>
          </w:p>
        </w:tc>
        <w:tc>
          <w:tcPr/>
          <w:p>
            <w:pPr>
              <w:pStyle w:val="Compact"/>
            </w:pPr>
            <w:r>
              <w:t xml:space="preserve">spectral, borne absolue</w:t>
            </w:r>
          </w:p>
        </w:tc>
        <w:tc>
          <w:tcPr/>
          <w:p>
            <w:pPr>
              <w:pStyle w:val="Compact"/>
            </w:pPr>
            <w:r>
              <w:t xml:space="preserve">masse absolue neutrino</w:t>
            </w:r>
          </w:p>
        </w:tc>
      </w:tr>
      <w:tr>
        <w:tc>
          <w:tcPr/>
          <w:p>
            <w:pPr>
              <w:pStyle w:val="Compact"/>
            </w:pPr>
            <w:r>
              <w:t xml:space="preserve">Convention</w:t>
            </w:r>
          </w:p>
        </w:tc>
        <w:tc>
          <w:tcPr/>
          <w:p>
            <w:pPr>
              <w:pStyle w:val="Compact"/>
            </w:pPr>
            <w:r>
              <w:t xml:space="preserve">définissante primaire, exacte par composition</w:t>
            </w:r>
          </w:p>
        </w:tc>
        <w:tc>
          <w:tcPr/>
          <w:p>
            <w:pPr>
              <w:pStyle w:val="Compact"/>
            </w:pPr>
            <w:r>
              <w:t xml:space="preserve">(k_B), (N_A), (R)</w:t>
            </w:r>
          </w:p>
        </w:tc>
      </w:tr>
    </w:tbl>
    <w:p>
      <w:pPr>
        <w:pStyle w:val="BodyText"/>
      </w:pPr>
      <w:r>
        <w:t xml:space="preserve">La famille Orientation est désormais confirmée au même niveau de robustesse que Couplage, Échelle, Raccordement et Convention.</w:t>
      </w:r>
    </w:p>
    <w:bookmarkEnd w:id="39"/>
    <w:bookmarkStart w:id="40" w:name="double-lecture-des-objets-multi-axiaux"/>
    <w:p>
      <w:pPr>
        <w:pStyle w:val="Heading2"/>
      </w:pPr>
      <w:r>
        <w:t xml:space="preserve">16. Double lecture des objets multi-axiaux</w:t>
      </w:r>
    </w:p>
    <w:p>
      <w:pPr>
        <w:pStyle w:val="FirstParagraph"/>
      </w:pPr>
      <w:r>
        <w:t xml:space="preserve">La v0.4 confirme aussi qu’une même grandeur peut appartenir à plusieurs axes.</w:t>
      </w:r>
    </w:p>
    <w:p>
      <w:pPr>
        <w:pStyle w:val="BodyText"/>
      </w:pPr>
      <w:r>
        <w:t xml:space="preserve">Exemples :</w:t>
      </w:r>
    </w:p>
    <w:p>
      <w:pPr>
        <w:pStyle w:val="BodyText"/>
      </w:pPr>
      <w:r>
        <w:t xml:space="preserve">[</w:t>
      </w:r>
      <w:r>
        <w:t xml:space="preserve"> </w:t>
      </w:r>
      <w:r>
        <w:t xml:space="preserve">R</w:t>
      </w:r>
      <w:r>
        <w:t xml:space="preserve"> </w:t>
      </w:r>
      <w:r>
        <w:t xml:space="preserve">]</w:t>
      </w:r>
    </w:p>
    <w:p>
      <w:pPr>
        <w:pStyle w:val="BodyText"/>
      </w:pPr>
      <w:r>
        <w:t xml:space="preserve">est une relation physique molaire et une constante conventionnelle dérivée.</w:t>
      </w:r>
    </w:p>
    <w:p>
      <w:pPr>
        <w:pStyle w:val="BodyText"/>
      </w:pPr>
      <w:r>
        <w:t xml:space="preserve">[</w:t>
      </w:r>
      <w:r>
        <w:t xml:space="preserve"> </w:t>
      </w:r>
      <w:r>
        <w:t xml:space="preserve">G_F</w:t>
      </w:r>
      <w:r>
        <w:t xml:space="preserve"> </w:t>
      </w:r>
      <w:r>
        <w:t xml:space="preserve">]</w:t>
      </w:r>
    </w:p>
    <w:p>
      <w:pPr>
        <w:pStyle w:val="BodyText"/>
      </w:pPr>
      <w:r>
        <w:t xml:space="preserve">est un raccordement effectif et une échelle faible indirecte.</w:t>
      </w:r>
    </w:p>
    <w:p>
      <w:pPr>
        <w:pStyle w:val="BodyText"/>
      </w:pPr>
      <w:r>
        <w:t xml:space="preserve">[</w:t>
      </w:r>
      <w:r>
        <w:t xml:space="preserve"> </w:t>
      </w:r>
      <w:r>
        <w:t xml:space="preserve">_W</w:t>
      </w:r>
      <w:r>
        <w:t xml:space="preserve"> </w:t>
      </w:r>
      <w:r>
        <w:t xml:space="preserve">]</w:t>
      </w:r>
    </w:p>
    <w:p>
      <w:pPr>
        <w:pStyle w:val="BodyText"/>
      </w:pPr>
      <w:r>
        <w:t xml:space="preserve">est une orientation de jauge et un paramètre dépendant du schéma de renormalisation.</w:t>
      </w:r>
    </w:p>
    <w:p>
      <w:pPr>
        <w:pStyle w:val="BodyText"/>
      </w:pPr>
      <w:r>
        <w:t xml:space="preserve">[</w:t>
      </w:r>
      <w:r>
        <w:t xml:space="preserve"> </w:t>
      </w:r>
      <w:r>
        <w:t xml:space="preserve">V_{</w:t>
      </w:r>
      <w:r>
        <w:t xml:space="preserve">}</w:t>
      </w:r>
      <w:r>
        <w:t xml:space="preserve"> </w:t>
      </w:r>
      <w:r>
        <w:t xml:space="preserve">]</w:t>
      </w:r>
    </w:p>
    <w:p>
      <w:pPr>
        <w:pStyle w:val="BodyText"/>
      </w:pPr>
      <w:r>
        <w:t xml:space="preserve">est une orientation de saveur et une structure issue des Yukawa.</w:t>
      </w:r>
    </w:p>
    <w:p>
      <w:pPr>
        <w:pStyle w:val="BodyText"/>
      </w:pPr>
      <w:r>
        <w:t xml:space="preserve">[</w:t>
      </w:r>
      <w:r>
        <w:t xml:space="preserve"> </w:t>
      </w:r>
      <w:r>
        <w:t xml:space="preserve">m^2</w:t>
      </w:r>
      <w:r>
        <w:t xml:space="preserve"> </w:t>
      </w:r>
      <w:r>
        <w:t xml:space="preserve">]</w:t>
      </w:r>
    </w:p>
    <w:p>
      <w:pPr>
        <w:pStyle w:val="BodyText"/>
      </w:pPr>
      <w:r>
        <w:t xml:space="preserve">est une relation spectrale et un rythme de déphasage en régime oscillatoire.</w:t>
      </w:r>
    </w:p>
    <w:p>
      <w:pPr>
        <w:pStyle w:val="BodyText"/>
      </w:pPr>
      <w:r>
        <w:t xml:space="preserve">La carte ne doit donc pas imposer un rangement exclusif. Elle doit produire des coordonnées de lecture.</w:t>
      </w:r>
    </w:p>
    <w:bookmarkEnd w:id="40"/>
    <w:bookmarkStart w:id="41" w:name="degré-de-stabilisation-après-ckm"/>
    <w:p>
      <w:pPr>
        <w:pStyle w:val="Heading2"/>
      </w:pPr>
      <w:r>
        <w:t xml:space="preserve">17. Degré de stabilisation après CKM</w:t>
      </w:r>
    </w:p>
    <w:p>
      <w:pPr>
        <w:pStyle w:val="FirstParagraph"/>
      </w:pPr>
      <w:r>
        <w:t xml:space="preserve">Le cycle CKM ajoute une nuance utile à l’axe de stabilisation empirique.</w:t>
      </w:r>
    </w:p>
    <w:p>
      <w:pPr>
        <w:pStyle w:val="BodyText"/>
      </w:pPr>
      <w:r>
        <w:t xml:space="preserve">Certaines structures sont :</w:t>
      </w:r>
    </w:p>
    <w:p>
      <w:pPr>
        <w:pStyle w:val="BodyText"/>
      </w:pPr>
      <w:r>
        <w:t xml:space="preserve">[</w:t>
      </w:r>
      <w:r>
        <w:t xml:space="preserve"> </w:t>
      </w:r>
      <w:r>
        <w:t xml:space="preserve"> </w:t>
      </w:r>
      <w:r>
        <w:t xml:space="preserve">]</w:t>
      </w:r>
    </w:p>
    <w:p>
      <w:pPr>
        <w:pStyle w:val="BodyText"/>
      </w:pPr>
      <w:r>
        <w:t xml:space="preserve">mais :</w:t>
      </w:r>
    </w:p>
    <w:p>
      <w:pPr>
        <w:pStyle w:val="BodyText"/>
      </w:pPr>
      <w:r>
        <w:t xml:space="preserve">[</w:t>
      </w:r>
      <w:r>
        <w:t xml:space="preserve"> </w:t>
      </w:r>
      <w:r>
        <w:t xml:space="preserve"> </w:t>
      </w:r>
      <w:r>
        <w:t xml:space="preserve">]</w:t>
      </w:r>
    </w:p>
    <w:p>
      <w:pPr>
        <w:pStyle w:val="BodyText"/>
      </w:pPr>
      <w:r>
        <w:t xml:space="preserve">CKM en est le cas typique. La matrice et sa hiérarchie sont robustes dans le cadre du Modèle standard, mais certaines extractions, certains tests d’unitarité ou certaines tensions locales restent importants.</w:t>
      </w:r>
    </w:p>
    <w:p>
      <w:pPr>
        <w:pStyle w:val="BodyText"/>
      </w:pPr>
      <w:r>
        <w:t xml:space="preserve">La table de stabilisation doit donc inclure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Niveau</w:t>
            </w:r>
          </w:p>
        </w:tc>
        <w:tc>
          <w:tcPr/>
          <w:p>
            <w:pPr>
              <w:pStyle w:val="Compact"/>
            </w:pPr>
            <w:r>
              <w:t xml:space="preserve">Définition</w:t>
            </w:r>
          </w:p>
        </w:tc>
        <w:tc>
          <w:tcPr/>
          <w:p>
            <w:pPr>
              <w:pStyle w:val="Compact"/>
            </w:pPr>
            <w:r>
              <w:t xml:space="preserve">Exemple</w:t>
            </w:r>
          </w:p>
        </w:tc>
      </w:tr>
      <w:tr>
        <w:tc>
          <w:tcPr/>
          <w:p>
            <w:pPr>
              <w:pStyle w:val="Compact"/>
            </w:pPr>
            <w:r>
              <w:t xml:space="preserve">Forte globale</w:t>
            </w:r>
          </w:p>
        </w:tc>
        <w:tc>
          <w:tcPr/>
          <w:p>
            <w:pPr>
              <w:pStyle w:val="Compact"/>
            </w:pPr>
            <w:r>
              <w:t xml:space="preserve">Structure robuste par ajustement global</w:t>
            </w:r>
          </w:p>
        </w:tc>
        <w:tc>
          <w:tcPr/>
          <w:p>
            <w:pPr>
              <w:pStyle w:val="Compact"/>
            </w:pPr>
            <w:r>
              <w:t xml:space="preserve">CKM</w:t>
            </w:r>
          </w:p>
        </w:tc>
      </w:tr>
      <w:tr>
        <w:tc>
          <w:tcPr/>
          <w:p>
            <w:pPr>
              <w:pStyle w:val="Compact"/>
            </w:pPr>
            <w:r>
              <w:t xml:space="preserve">Tension locale</w:t>
            </w:r>
          </w:p>
        </w:tc>
        <w:tc>
          <w:tcPr/>
          <w:p>
            <w:pPr>
              <w:pStyle w:val="Compact"/>
            </w:pPr>
            <w:r>
              <w:t xml:space="preserve">Sous-ensemble d’observables à surveiller</w:t>
            </w:r>
          </w:p>
        </w:tc>
        <w:tc>
          <w:tcPr/>
          <w:p>
            <w:pPr>
              <w:pStyle w:val="Compact"/>
            </w:pPr>
            <w:r>
              <w:t xml:space="preserve">première ligne CKM</w:t>
            </w:r>
          </w:p>
        </w:tc>
      </w:tr>
      <w:tr>
        <w:tc>
          <w:tcPr/>
          <w:p>
            <w:pPr>
              <w:pStyle w:val="Compact"/>
            </w:pPr>
            <w:r>
              <w:t xml:space="preserve">Forte directe</w:t>
            </w:r>
          </w:p>
        </w:tc>
        <w:tc>
          <w:tcPr/>
          <w:p>
            <w:pPr>
              <w:pStyle w:val="Compact"/>
            </w:pPr>
            <w:r>
              <w:t xml:space="preserve">Mesure ou contrainte très stable</w:t>
            </w:r>
          </w:p>
        </w:tc>
        <w:tc>
          <w:tcPr/>
          <w:p>
            <w:pPr>
              <w:pStyle w:val="Compact"/>
            </w:pPr>
            <w:r>
              <w:t xml:space="preserve">(</w:t>
            </w:r>
            <w:r>
              <w:t xml:space="preserve">), (</w:t>
            </w:r>
            <w:r>
              <w:t xml:space="preserve">_{13})</w:t>
            </w:r>
          </w:p>
        </w:tc>
      </w:tr>
      <w:tr>
        <w:tc>
          <w:tcPr/>
          <w:p>
            <w:pPr>
              <w:pStyle w:val="Compact"/>
            </w:pPr>
            <w:r>
              <w:t xml:space="preserve">En cours</w:t>
            </w:r>
          </w:p>
        </w:tc>
        <w:tc>
          <w:tcPr/>
          <w:p>
            <w:pPr>
              <w:pStyle w:val="Compact"/>
            </w:pPr>
            <w:r>
              <w:t xml:space="preserve">Paramètre structurel mais valeur incertaine</w:t>
            </w:r>
          </w:p>
        </w:tc>
        <w:tc>
          <w:tcPr/>
          <w:p>
            <w:pPr>
              <w:pStyle w:val="Compact"/>
            </w:pPr>
            <w:r>
              <w:t xml:space="preserve">(</w:t>
            </w:r>
            <w:r>
              <w:t xml:space="preserve">_{</w:t>
            </w:r>
            <w:r>
              <w:t xml:space="preserve">})</w:t>
            </w:r>
          </w:p>
        </w:tc>
      </w:tr>
      <w:tr>
        <w:tc>
          <w:tcPr/>
          <w:p>
            <w:pPr>
              <w:pStyle w:val="Compact"/>
            </w:pPr>
            <w:r>
              <w:t xml:space="preserve">Bornée</w:t>
            </w:r>
          </w:p>
        </w:tc>
        <w:tc>
          <w:tcPr/>
          <w:p>
            <w:pPr>
              <w:pStyle w:val="Compact"/>
            </w:pPr>
            <w:r>
              <w:t xml:space="preserve">Limite sans mesure positive</w:t>
            </w:r>
          </w:p>
        </w:tc>
        <w:tc>
          <w:tcPr/>
          <w:p>
            <w:pPr>
              <w:pStyle w:val="Compact"/>
            </w:pPr>
            <w:r>
              <w:t xml:space="preserve">(m_</w:t>
            </w:r>
            <w:r>
              <w:t xml:space="preserve">), (m_{</w:t>
            </w:r>
            <w:r>
              <w:t xml:space="preserve">})</w:t>
            </w:r>
          </w:p>
        </w:tc>
      </w:tr>
      <w:tr>
        <w:tc>
          <w:tcPr/>
          <w:p>
            <w:pPr>
              <w:pStyle w:val="Compact"/>
            </w:pPr>
            <w:r>
              <w:t xml:space="preserve">Modèle-dépendante</w:t>
            </w:r>
          </w:p>
        </w:tc>
        <w:tc>
          <w:tcPr/>
          <w:p>
            <w:pPr>
              <w:pStyle w:val="Compact"/>
            </w:pPr>
            <w:r>
              <w:t xml:space="preserve">Forte dans un cadre donné</w:t>
            </w:r>
          </w:p>
        </w:tc>
        <w:tc>
          <w:tcPr/>
          <w:p>
            <w:pPr>
              <w:pStyle w:val="Compact"/>
            </w:pPr>
            <w:r>
              <w:t xml:space="preserve">(</w:t>
            </w:r>
            <w:r>
              <w:t xml:space="preserve">m_</w:t>
            </w:r>
            <w:r>
              <w:t xml:space="preserve">), (</w:t>
            </w:r>
            <w:r>
              <w:t xml:space="preserve">)</w:t>
            </w:r>
          </w:p>
        </w:tc>
      </w:tr>
      <w:tr>
        <w:tc>
          <w:tcPr/>
          <w:p>
            <w:pPr>
              <w:pStyle w:val="Compact"/>
            </w:pPr>
            <w:r>
              <w:t xml:space="preserve">Conventionnelle exacte</w:t>
            </w:r>
          </w:p>
        </w:tc>
        <w:tc>
          <w:tcPr/>
          <w:p>
            <w:pPr>
              <w:pStyle w:val="Compact"/>
            </w:pPr>
            <w:r>
              <w:t xml:space="preserve">Fixée par définition ou composition</w:t>
            </w:r>
          </w:p>
        </w:tc>
        <w:tc>
          <w:tcPr/>
          <w:p>
            <w:pPr>
              <w:pStyle w:val="Compact"/>
            </w:pPr>
            <w:r>
              <w:t xml:space="preserve">(k_B), (N_A), (R)</w:t>
            </w:r>
          </w:p>
        </w:tc>
      </w:tr>
    </w:tbl>
    <w:p>
      <w:pPr>
        <w:pStyle w:val="BodyText"/>
      </w:pPr>
      <w:r>
        <w:t xml:space="preserve">Cette nuance sera utile pour les futurs paramètres de modèle.</w:t>
      </w:r>
    </w:p>
    <w:bookmarkEnd w:id="41"/>
    <w:bookmarkStart w:id="42" w:name="définition-générale-v0.4"/>
    <w:p>
      <w:pPr>
        <w:pStyle w:val="Heading2"/>
      </w:pPr>
      <w:r>
        <w:t xml:space="preserve">18. Définition générale v0.4</w:t>
      </w:r>
    </w:p>
    <w:p>
      <w:pPr>
        <w:pStyle w:val="FirstParagraph"/>
      </w:pPr>
      <w:r>
        <w:t xml:space="preserve">La définition générale peut maintenant être formulée ainsi :</w:t>
      </w:r>
    </w:p>
    <w:p>
      <w:pPr>
        <w:pStyle w:val="BodyText"/>
      </w:pPr>
      <w:r>
        <w:rPr>
          <w:b/>
          <w:bCs/>
        </w:rPr>
        <w:t xml:space="preserve">Une constante effective stabilisée est une grandeur qui acquiert une robustesse de valeur, de relation, d’orientation ou de fonction dans un régime déterminé. Cette robustesse doit être analysée selon quatre axes : fonction physique, régime de définition, régime d’accès et mode de stabilisation.</w:t>
      </w:r>
    </w:p>
    <w:p>
      <w:pPr>
        <w:pStyle w:val="BodyText"/>
      </w:pPr>
      <w:r>
        <w:t xml:space="preserve">Cette définition est volontairement plus compacte que les précédentes. Elle évite d’énumérer tous les cas possibles.</w:t>
      </w:r>
    </w:p>
    <w:p>
      <w:pPr>
        <w:pStyle w:val="BodyText"/>
      </w:pPr>
      <w:r>
        <w:t xml:space="preserve">La taxonomie, et non la définition, porte le détail.</w:t>
      </w:r>
    </w:p>
    <w:bookmarkEnd w:id="42"/>
    <w:bookmarkStart w:id="43" w:name="formule-de-travail-v0.4"/>
    <w:p>
      <w:pPr>
        <w:pStyle w:val="Heading2"/>
      </w:pPr>
      <w:r>
        <w:t xml:space="preserve">19. Formule de travail v0.4</w:t>
      </w:r>
    </w:p>
    <w:p>
      <w:pPr>
        <w:pStyle w:val="FirstParagraph"/>
      </w:pPr>
      <w:r>
        <w:t xml:space="preserve">La formule issue de la v0.4 est :</w:t>
      </w:r>
    </w:p>
    <w:p>
      <w:pPr>
        <w:pStyle w:val="BodyText"/>
      </w:pPr>
      <w:r>
        <w:rPr>
          <w:b/>
          <w:bCs/>
        </w:rPr>
        <w:t xml:space="preserve">La constance peut être la stabilité d’un désalignement.</w:t>
      </w:r>
    </w:p>
    <w:p>
      <w:pPr>
        <w:pStyle w:val="BodyText"/>
      </w:pPr>
      <w:r>
        <w:t xml:space="preserve">Plus largement :</w:t>
      </w:r>
    </w:p>
    <w:p>
      <w:pPr>
        <w:pStyle w:val="BodyText"/>
      </w:pPr>
      <w:r>
        <w:t xml:space="preserve">[</w:t>
      </w:r>
      <w:r>
        <w:t xml:space="preserve"> </w:t>
      </w:r>
      <w:r>
        <w:t xml:space="preserve"> </w:t>
      </w:r>
      <w:r>
        <w:t xml:space="preserve">=</w:t>
      </w:r>
      <w:r>
        <w:t xml:space="preserve"> </w:t>
      </w:r>
    </w:p>
    <w:p>
      <w:pPr>
        <w:pStyle w:val="Compact"/>
        <w:numPr>
          <w:ilvl w:val="0"/>
          <w:numId w:val="1002"/>
        </w:numPr>
      </w:pPr>
      <w:r>
        <w:t xml:space="preserve">]</w:t>
      </w:r>
    </w:p>
    <w:p>
      <w:pPr>
        <w:pStyle w:val="FirstParagraph"/>
      </w:pPr>
      <w:r>
        <w:t xml:space="preserve">La contribution spécifique de CKM est d’ajouter :</w:t>
      </w:r>
    </w:p>
    <w:p>
      <w:pPr>
        <w:pStyle w:val="BodyText"/>
      </w:pPr>
      <w:r>
        <w:t xml:space="preserve">[</w:t>
      </w:r>
      <w:r>
        <w:t xml:space="preserve"> </w:t>
      </w:r>
      <w:r>
        <w:t xml:space="preserve"> </w:t>
      </w:r>
      <w:r>
        <w:t xml:space="preserve">=</w:t>
      </w:r>
      <w:r>
        <w:t xml:space="preserve"> </w:t>
      </w:r>
      <w:r>
        <w:t xml:space="preserve"> </w:t>
      </w:r>
      <w:r>
        <w:t xml:space="preserve">]</w:t>
      </w:r>
    </w:p>
    <w:p>
      <w:pPr>
        <w:pStyle w:val="BodyText"/>
      </w:pPr>
      <w:r>
        <w:t xml:space="preserve">Cette formule permet de comprendre ensemble (</w:t>
      </w:r>
      <w:r>
        <w:t xml:space="preserve">_W), PMNS et CKM, tout en respectant leurs différences.</w:t>
      </w:r>
    </w:p>
    <w:bookmarkEnd w:id="43"/>
    <w:bookmarkStart w:id="44" w:name="ce-que-la-v0.4-résout"/>
    <w:p>
      <w:pPr>
        <w:pStyle w:val="Heading2"/>
      </w:pPr>
      <w:r>
        <w:t xml:space="preserve">20. Ce que la v0.4 résout</w:t>
      </w:r>
    </w:p>
    <w:p>
      <w:pPr>
        <w:pStyle w:val="FirstParagraph"/>
      </w:pPr>
      <w:r>
        <w:t xml:space="preserve">La v0.4 résout trois points.</w:t>
      </w:r>
    </w:p>
    <w:p>
      <w:pPr>
        <w:pStyle w:val="BodyText"/>
      </w:pPr>
      <w:r>
        <w:t xml:space="preserve">Premièrement, elle confirme que</w:t>
      </w:r>
      <w:r>
        <w:t xml:space="preserve"> </w:t>
      </w:r>
      <w:r>
        <w:t xml:space="preserve">“oscillation”</w:t>
      </w:r>
      <w:r>
        <w:t xml:space="preserve"> </w:t>
      </w:r>
      <w:r>
        <w:t xml:space="preserve">n’est pas une famille supérieure. C’est une manifestation locale.</w:t>
      </w:r>
    </w:p>
    <w:p>
      <w:pPr>
        <w:pStyle w:val="BodyText"/>
      </w:pPr>
      <w:r>
        <w:t xml:space="preserve">Deuxièmement, elle confirme Orientation comme famille supérieure robuste.</w:t>
      </w:r>
    </w:p>
    <w:p>
      <w:pPr>
        <w:pStyle w:val="BodyText"/>
      </w:pPr>
      <w:r>
        <w:t xml:space="preserve">Troisièmement, elle relie CKM au secteur Higgs/Yukawa sans dissoudre la taxonomie : l’origine structurelle de CKM est dans les Yukawa, mais sa fonction observable est l’orientation transitionnelle des saveurs de quarks.</w:t>
      </w:r>
    </w:p>
    <w:bookmarkEnd w:id="44"/>
    <w:bookmarkStart w:id="48" w:name="ce-que-la-v0.4-ne-résout-pas-encore"/>
    <w:p>
      <w:pPr>
        <w:pStyle w:val="Heading2"/>
      </w:pPr>
      <w:r>
        <w:t xml:space="preserve">21. Ce que la v0.4 ne résout pas encore</w:t>
      </w:r>
    </w:p>
    <w:p>
      <w:pPr>
        <w:pStyle w:val="FirstParagraph"/>
      </w:pPr>
      <w:r>
        <w:t xml:space="preserve">La v0.4 ne résout pas encore trois problèmes.</w:t>
      </w:r>
    </w:p>
    <w:bookmarkStart w:id="45" w:name="le-statut-général-de-la-famille-relation"/>
    <w:p>
      <w:pPr>
        <w:pStyle w:val="Heading3"/>
      </w:pPr>
      <w:r>
        <w:t xml:space="preserve">21.1 Le statut général de la famille Relation</w:t>
      </w:r>
    </w:p>
    <w:p>
      <w:pPr>
        <w:pStyle w:val="FirstParagraph"/>
      </w:pPr>
      <w:r>
        <w:t xml:space="preserve">La famille Relation reste large. Elle accueille :</w:t>
      </w:r>
    </w:p>
    <w:p>
      <w:pPr>
        <w:pStyle w:val="BodyText"/>
      </w:pPr>
      <w:r>
        <w:t xml:space="preserve">[</w:t>
      </w:r>
      <w:r>
        <w:t xml:space="preserve"> </w:t>
      </w:r>
      <w:r>
        <w:t xml:space="preserve">m_p/m_e</w:t>
      </w:r>
      <w:r>
        <w:t xml:space="preserve"> </w:t>
      </w:r>
      <w:r>
        <w:t xml:space="preserve">]</w:t>
      </w:r>
    </w:p>
    <w:p>
      <w:pPr>
        <w:pStyle w:val="BodyText"/>
      </w:pPr>
      <w:r>
        <w:t xml:space="preserve">[</w:t>
      </w:r>
      <w:r>
        <w:t xml:space="preserve"> </w:t>
      </w:r>
      <w:r>
        <w:t xml:space="preserve">R</w:t>
      </w:r>
      <w:r>
        <w:t xml:space="preserve"> </w:t>
      </w:r>
      <w:r>
        <w:t xml:space="preserve">]</w:t>
      </w:r>
    </w:p>
    <w:p>
      <w:pPr>
        <w:pStyle w:val="BodyText"/>
      </w:pPr>
      <w:r>
        <w:t xml:space="preserve">[</w:t>
      </w:r>
      <w:r>
        <w:t xml:space="preserve"> </w:t>
      </w:r>
      <w:r>
        <w:t xml:space="preserve">m^2</w:t>
      </w:r>
      <w:r>
        <w:t xml:space="preserve"> </w:t>
      </w:r>
      <w:r>
        <w:t xml:space="preserve">]</w:t>
      </w:r>
    </w:p>
    <w:p>
      <w:pPr>
        <w:pStyle w:val="BodyText"/>
      </w:pPr>
      <w:r>
        <w:t xml:space="preserve">mais ces cas sont très différents. Il faudra peut-être distinguer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sans créer trois familles supérieures.</w:t>
      </w:r>
    </w:p>
    <w:bookmarkEnd w:id="45"/>
    <w:bookmarkStart w:id="46" w:name="le-statut-de-la-famille-fond"/>
    <w:p>
      <w:pPr>
        <w:pStyle w:val="Heading3"/>
      </w:pPr>
      <w:r>
        <w:t xml:space="preserve">21.2 Le statut de la famille Fond</w:t>
      </w:r>
    </w:p>
    <w:p>
      <w:pPr>
        <w:pStyle w:val="FirstParagraph"/>
      </w:pPr>
      <w:r>
        <w:t xml:space="preserve">La famille Fond reste essentiellement portée par :</w:t>
      </w:r>
    </w:p>
    <w:p>
      <w:pPr>
        <w:pStyle w:val="BodyText"/>
      </w:pPr>
      <w:r>
        <w:t xml:space="preserve">[</w:t>
      </w:r>
      <w:r>
        <w:t xml:space="preserve"> </w:t>
      </w:r>
      <w:r>
        <w:t xml:space="preserve"> </w:t>
      </w:r>
      <w:r>
        <w:t xml:space="preserve">]</w:t>
      </w:r>
    </w:p>
    <w:p>
      <w:pPr>
        <w:pStyle w:val="BodyText"/>
      </w:pPr>
      <w:r>
        <w:t xml:space="preserve">Elle demeure nécessaire, mais encore peu compressive.</w:t>
      </w:r>
    </w:p>
    <w:bookmarkEnd w:id="46"/>
    <w:bookmarkStart w:id="47" w:name="Xd6dc4018ce53048339f9b426b2421ce878a8219"/>
    <w:p>
      <w:pPr>
        <w:pStyle w:val="Heading3"/>
      </w:pPr>
      <w:r>
        <w:t xml:space="preserve">21.3 La compression complète du secteur Higgs/Yukawa</w:t>
      </w:r>
    </w:p>
    <w:p>
      <w:pPr>
        <w:pStyle w:val="FirstParagraph"/>
      </w:pPr>
      <w:r>
        <w:t xml:space="preserve">Le secteur Higgs/Yukawa doit encore être réorganisé proprement autour de :</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w:t>
      </w:r>
      <w:r>
        <w:t xml:space="preserve"> </w:t>
      </w:r>
      <w:r>
        <w:t xml:space="preserve"> </w:t>
      </w:r>
      <w:r>
        <w:t xml:space="preserve">]</w:t>
      </w:r>
    </w:p>
    <w:p>
      <w:pPr>
        <w:pStyle w:val="BodyText"/>
      </w:pPr>
      <w:r>
        <w:t xml:space="preserve">Cette réorganisation devra probablement faire l’objet d’une note séparée.</w:t>
      </w:r>
    </w:p>
    <w:bookmarkEnd w:id="47"/>
    <w:bookmarkEnd w:id="48"/>
    <w:bookmarkStart w:id="49" w:name="prochaine-étape"/>
    <w:p>
      <w:pPr>
        <w:pStyle w:val="Heading2"/>
      </w:pPr>
      <w:r>
        <w:t xml:space="preserve">22. Prochaine étape</w:t>
      </w:r>
    </w:p>
    <w:p>
      <w:pPr>
        <w:pStyle w:val="FirstParagraph"/>
      </w:pPr>
      <w:r>
        <w:t xml:space="preserve">La prochaine étape logique n’est pas un nouveau cycle physique immédiat. Il faut d’abord produire une note de consolidation ciblée :</w:t>
      </w:r>
    </w:p>
    <w:p>
      <w:pPr>
        <w:pStyle w:val="BodyText"/>
      </w:pPr>
      <w:r>
        <w:rPr>
          <w:b/>
          <w:bCs/>
        </w:rPr>
        <w:t xml:space="preserve">Note de consolidation saveur-Higgs v0.1 — Échelle, Yukawa, masses et orientations</w:t>
      </w:r>
    </w:p>
    <w:p>
      <w:pPr>
        <w:pStyle w:val="BodyText"/>
      </w:pPr>
      <w:r>
        <w:t xml:space="preserve">Cette note devra montrer comment s’articulent :</w:t>
      </w:r>
    </w:p>
    <w:p>
      <w:pPr>
        <w:pStyle w:val="BodyText"/>
      </w:pPr>
      <w:r>
        <w:t xml:space="preserve">[</w:t>
      </w:r>
      <w:r>
        <w:t xml:space="preserve"> </w:t>
      </w:r>
      <w:r>
        <w:t xml:space="preserve">v</w:t>
      </w:r>
      <w:r>
        <w:t xml:space="preserve"> </w:t>
      </w:r>
      <w:r>
        <w:t xml:space="preserve">]</w:t>
      </w:r>
    </w:p>
    <w:p>
      <w:pPr>
        <w:pStyle w:val="BodyText"/>
      </w:pPr>
      <w:r>
        <w:t xml:space="preserve">comme échelle structurante,</w:t>
      </w:r>
    </w:p>
    <w:p>
      <w:pPr>
        <w:pStyle w:val="BodyText"/>
      </w:pPr>
      <w:r>
        <w:t xml:space="preserve">[</w:t>
      </w:r>
      <w:r>
        <w:t xml:space="preserve"> </w:t>
      </w:r>
      <w:r>
        <w:t xml:space="preserve">Y_f</w:t>
      </w:r>
      <w:r>
        <w:t xml:space="preserve"> </w:t>
      </w:r>
      <w:r>
        <w:t xml:space="preserve">]</w:t>
      </w:r>
    </w:p>
    <w:p>
      <w:pPr>
        <w:pStyle w:val="BodyText"/>
      </w:pPr>
      <w:r>
        <w:t xml:space="preserve">comme matrices de couplage et de texture,</w:t>
      </w:r>
    </w:p>
    <w:p>
      <w:pPr>
        <w:pStyle w:val="BodyText"/>
      </w:pPr>
      <w:r>
        <w:t xml:space="preserve">[</w:t>
      </w:r>
      <w:r>
        <w:t xml:space="preserve"> </w:t>
      </w:r>
      <w:r>
        <w:t xml:space="preserve">m_f</w:t>
      </w:r>
      <w:r>
        <w:t xml:space="preserve"> </w:t>
      </w:r>
      <w:r>
        <w:t xml:space="preserve">]</w:t>
      </w:r>
    </w:p>
    <w:p>
      <w:pPr>
        <w:pStyle w:val="BodyText"/>
      </w:pPr>
      <w:r>
        <w:t xml:space="preserve">comme masses de régime brisé,</w:t>
      </w:r>
    </w:p>
    <w:p>
      <w:pPr>
        <w:pStyle w:val="BodyText"/>
      </w:pPr>
      <w:r>
        <w:t xml:space="preserve">[</w:t>
      </w:r>
      <w:r>
        <w:t xml:space="preserve"> </w:t>
      </w:r>
      <w:r>
        <w:t xml:space="preserve">V_{</w:t>
      </w:r>
      <w:r>
        <w:t xml:space="preserve">}</w:t>
      </w:r>
      <w:r>
        <w:t xml:space="preserve"> </w:t>
      </w:r>
      <w:r>
        <w:t xml:space="preserve">]</w:t>
      </w:r>
    </w:p>
    <w:p>
      <w:pPr>
        <w:pStyle w:val="BodyText"/>
      </w:pPr>
      <w:r>
        <w:t xml:space="preserve">comme orientation de saveur transitionnelle,</w:t>
      </w:r>
    </w:p>
    <w:p>
      <w:pPr>
        <w:pStyle w:val="BodyText"/>
      </w:pPr>
      <w:r>
        <w:t xml:space="preserve">[</w:t>
      </w:r>
      <w:r>
        <w:t xml:space="preserve"> </w:t>
      </w:r>
      <w:r>
        <w:t xml:space="preserve">U_{</w:t>
      </w:r>
      <w:r>
        <w:t xml:space="preserve">}</w:t>
      </w:r>
      <w:r>
        <w:t xml:space="preserve"> </w:t>
      </w:r>
      <w:r>
        <w:t xml:space="preserve">]</w:t>
      </w:r>
    </w:p>
    <w:p>
      <w:pPr>
        <w:pStyle w:val="BodyText"/>
      </w:pPr>
      <w:r>
        <w:t xml:space="preserve">comme orientation de saveur oscillatoire.</w:t>
      </w:r>
    </w:p>
    <w:p>
      <w:pPr>
        <w:pStyle w:val="BodyText"/>
      </w:pPr>
      <w:r>
        <w:t xml:space="preserve">L’objectif sera de régler le foyer critique laissé ouvert : éviter de traiter les masses, Yukawa et mélanges comme des familles séparées alors qu’ils forment une architecture commune de saveur.</w:t>
      </w:r>
    </w:p>
    <w:bookmarkEnd w:id="49"/>
    <w:bookmarkStart w:id="50" w:name="critère-de-réussite-de-la-suite"/>
    <w:p>
      <w:pPr>
        <w:pStyle w:val="Heading2"/>
      </w:pPr>
      <w:r>
        <w:t xml:space="preserve">23. Critère de réussite de la suite</w:t>
      </w:r>
    </w:p>
    <w:p>
      <w:pPr>
        <w:pStyle w:val="FirstParagraph"/>
      </w:pPr>
      <w:r>
        <w:t xml:space="preserve">La suite sera réussie si elle parvient à formuler une architecture compacte du type :</w:t>
      </w:r>
    </w:p>
    <w:p>
      <w:pPr>
        <w:pStyle w:val="BodyText"/>
      </w:pPr>
      <w:r>
        <w:t xml:space="preserve">[</w:t>
      </w:r>
      <w:r>
        <w:t xml:space="preserve"> </w:t>
      </w:r>
    </w:p>
    <w:p>
      <w:pPr>
        <w:pStyle w:val="Compact"/>
        <w:numPr>
          <w:ilvl w:val="0"/>
          <w:numId w:val="1003"/>
        </w:numPr>
      </w:pPr>
      <w:r>
        <w:t xml:space="preserve">]</w:t>
      </w:r>
    </w:p>
    <w:p>
      <w:pPr>
        <w:pStyle w:val="FirstParagraph"/>
      </w:pPr>
      <w:r>
        <w:t xml:space="preserve">sans créer une nouvelle famille pour chaque élément.</w:t>
      </w:r>
    </w:p>
    <w:p>
      <w:pPr>
        <w:pStyle w:val="BodyText"/>
      </w:pPr>
      <w:r>
        <w:t xml:space="preserve">Elle échouera si elle réintroduit une prolifération de catégories locales.</w:t>
      </w:r>
    </w:p>
    <w:bookmarkEnd w:id="50"/>
    <w:bookmarkStart w:id="51" w:name="formule-de-clôture"/>
    <w:p>
      <w:pPr>
        <w:pStyle w:val="Heading2"/>
      </w:pPr>
      <w:r>
        <w:t xml:space="preserve">24. Formule de clôture</w:t>
      </w:r>
    </w:p>
    <w:p>
      <w:pPr>
        <w:pStyle w:val="FirstParagraph"/>
      </w:pPr>
      <w:r>
        <w:t xml:space="preserve">La carte v0.4 confirme que la taxonomie progresse lorsqu’elle change de rang au bon moment.</w:t>
      </w:r>
    </w:p>
    <w:p>
      <w:pPr>
        <w:pStyle w:val="BodyText"/>
      </w:pPr>
      <w:r>
        <w:t xml:space="preserve">Le cycle CKM n’a pas ajouté une famille. Il a confirmé une famille.</w:t>
      </w:r>
    </w:p>
    <w:p>
      <w:pPr>
        <w:pStyle w:val="BodyText"/>
      </w:pPr>
      <w:r>
        <w:t xml:space="preserve">La formule de clôture est donc :</w:t>
      </w:r>
    </w:p>
    <w:p>
      <w:pPr>
        <w:pStyle w:val="BodyText"/>
      </w:pPr>
      <w:r>
        <w:rPr>
          <w:b/>
          <w:bCs/>
        </w:rPr>
        <w:t xml:space="preserve">Classer, ce n’est pas seulement nommer un cas ; c’est décider à quel niveau sa différence compte.</w:t>
      </w:r>
    </w:p>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2026-07-09T06:29:54Z</dcterms:created>
  <dcterms:modified xsi:type="dcterms:W3CDTF">2026-07-09T06:29:54Z</dcterms:modified>
</cp:coreProperties>
</file>

<file path=docProps/custom.xml><?xml version="1.0" encoding="utf-8"?>
<Properties xmlns="http://schemas.openxmlformats.org/officeDocument/2006/custom-properties" xmlns:vt="http://schemas.openxmlformats.org/officeDocument/2006/docPropsVTypes"/>
</file>