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522aec7c057f7b747e979faf28e2c72f719d4f4"/>
    <w:p>
      <w:pPr>
        <w:pStyle w:val="1"/>
      </w:pPr>
      <w:r>
        <w:t xml:space="preserve">L_architecture_dynamique_des_constantes_physiques</w:t>
      </w:r>
    </w:p>
    <w:p>
      <w:r>
        <w:pict>
          <v:rect style="width:0;height:1.5pt" o:hralign="center" o:hrstd="t" o:hr="t"/>
        </w:pict>
      </w:r>
    </w:p>
    <w:p>
      <w:pPr>
        <w:pStyle w:val="a8"/>
      </w:pPr>
      <w:r>
        <w:t xml:space="preserve">Date et heure : 2026-07-10 06:55:54</w:t>
      </w:r>
      <w:r>
        <w:br/>
      </w:r>
      <w:r>
        <w:t xml:space="preserve">Lieu : [Insérer le lieu]</w:t>
      </w:r>
      <w:r>
        <w:br/>
      </w:r>
      <w:r>
        <w:t xml:space="preserve">Intervenant : Speaker 1, Speaker 2</w:t>
      </w:r>
    </w:p>
    <w:bookmarkStart w:id="20" w:name="résumé-express"/>
    <w:p>
      <w:pPr>
        <w:pStyle w:val="21"/>
      </w:pPr>
      <w:r>
        <w:t xml:space="preserve">Résumé Express</w:t>
      </w:r>
    </w:p>
    <w:p>
      <w:pPr>
        <w:pStyle w:val="FirstParagraph"/>
      </w:pPr>
      <w:r>
        <w:t xml:space="preserve">Speaker 1 et Speaker 2 analysent un document proposant une nouvelle classification (taxonomie) des constantes physiques. Ils identifient trois faiblesses majeures : le traitement inadéquat des grandeurs oscillatoires (comme les neutrinos), la sous-estimation de l’influence du modèle théorique en cosmologie, et une évaluation trop statique de la maturité des constantes. Ils proposent des solutions concrètes pour affiner cette classification et la transformer en un outil d’analyse dynamique des défis actuels de la physique.</w:t>
      </w:r>
    </w:p>
    <w:bookmarkEnd w:id="20"/>
    <w:bookmarkStart w:id="21" w:name="contexte-et-rôles"/>
    <w:p>
      <w:pPr>
        <w:pStyle w:val="21"/>
      </w:pPr>
      <w:r>
        <w:t xml:space="preserve">Contexte et rôles</w:t>
      </w:r>
    </w:p>
    <w:p>
      <w:pPr>
        <w:pStyle w:val="Compact"/>
        <w:numPr>
          <w:ilvl w:val="0"/>
          <w:numId w:val="1001"/>
        </w:numPr>
      </w:pPr>
      <w:r>
        <w:t xml:space="preserve">Speaker 1 : Présente le document visant à refondre la classification des constantes physiques, guide la discussion par des questions de clarification, utilise des analogies (prisme) pour rendre les concepts accessibles, et synthétise les points clés à la fin.</w:t>
      </w:r>
    </w:p>
    <w:p>
      <w:pPr>
        <w:pStyle w:val="Compact"/>
        <w:numPr>
          <w:ilvl w:val="0"/>
          <w:numId w:val="1001"/>
        </w:numPr>
      </w:pPr>
      <w:r>
        <w:t xml:space="preserve">Speaker 2 : Principal critique du document. Expose trois problèmes conceptuels majeurs dans la taxonomie proposée et suggère des solutions détaillées, comme de nouveaux champs d’analyse (</w:t>
      </w:r>
      <w:r>
        <w:t xml:space="preserve">“rôle dans l’amplitude de transition”</w:t>
      </w:r>
      <w:r>
        <w:t xml:space="preserve">,</w:t>
      </w:r>
      <w:r>
        <w:t xml:space="preserve"> </w:t>
      </w:r>
      <w:r>
        <w:t xml:space="preserve">“manifestation phénoménologique”</w:t>
      </w:r>
      <w:r>
        <w:t xml:space="preserve">,</w:t>
      </w:r>
      <w:r>
        <w:t xml:space="preserve"> </w:t>
      </w:r>
      <w:r>
        <w:t xml:space="preserve">“couplage modèle-accès”</w:t>
      </w:r>
      <w:r>
        <w:t xml:space="preserve">) et la transformation de l’évaluation statique en une analyse de</w:t>
      </w:r>
      <w:r>
        <w:t xml:space="preserve"> </w:t>
      </w:r>
      <w:r>
        <w:t xml:space="preserve">“trajectoire de stabilisation”</w:t>
      </w:r>
      <w:r>
        <w:t xml:space="preserve">.</w:t>
      </w:r>
    </w:p>
    <w:bookmarkEnd w:id="21"/>
    <w:bookmarkStart w:id="22" w:name="points-clés"/>
    <w:p>
      <w:pPr>
        <w:pStyle w:val="21"/>
      </w:pPr>
      <w:r>
        <w:t xml:space="preserve">Points Clés</w:t>
      </w:r>
    </w:p>
    <w:p>
      <w:pPr>
        <w:pStyle w:val="Compact"/>
        <w:numPr>
          <w:ilvl w:val="0"/>
          <w:numId w:val="1002"/>
        </w:numPr>
      </w:pPr>
      <w:r>
        <w:t xml:space="preserve">La classification échoue à distinguer la géométrie statique (angles de mélange) de la dynamique temporelle (moteurs d’oscillation) pour des phénomènes comme l’oscillation des neutrinos.</w:t>
      </w:r>
    </w:p>
    <w:p>
      <w:pPr>
        <w:pStyle w:val="Compact"/>
        <w:numPr>
          <w:ilvl w:val="0"/>
          <w:numId w:val="1002"/>
        </w:numPr>
      </w:pPr>
      <w:r>
        <w:t xml:space="preserve">En cosmologie, séparer strictement une constante de sa manière de mesure est une erreur : le modèle théorique (ex : Lambda-CDM) façonne la valeur observée, d’où la nécessité de documenter le</w:t>
      </w:r>
      <w:r>
        <w:t xml:space="preserve"> </w:t>
      </w:r>
      <w:r>
        <w:t xml:space="preserve">“couplage modèle-accès”</w:t>
      </w:r>
      <w:r>
        <w:t xml:space="preserve">.</w:t>
      </w:r>
    </w:p>
    <w:p>
      <w:pPr>
        <w:pStyle w:val="Compact"/>
        <w:numPr>
          <w:ilvl w:val="0"/>
          <w:numId w:val="1002"/>
        </w:numPr>
      </w:pPr>
      <w:r>
        <w:t xml:space="preserve">Évaluer la maturité par un état fixe (</w:t>
      </w:r>
      <w:r>
        <w:t xml:space="preserve">“forte”</w:t>
      </w:r>
      <w:r>
        <w:t xml:space="preserve">,</w:t>
      </w:r>
      <w:r>
        <w:t xml:space="preserve"> </w:t>
      </w:r>
      <w:r>
        <w:t xml:space="preserve">“en cours”</w:t>
      </w:r>
      <w:r>
        <w:t xml:space="preserve">) est insuffisant : il faut une</w:t>
      </w:r>
      <w:r>
        <w:t xml:space="preserve"> </w:t>
      </w:r>
      <w:r>
        <w:t xml:space="preserve">“trajectoire”</w:t>
      </w:r>
      <w:r>
        <w:t xml:space="preserve"> </w:t>
      </w:r>
      <w:r>
        <w:t xml:space="preserve">historique (convergence, divergence, absorption par convention), comme l’illustre la tension de H0.</w:t>
      </w:r>
    </w:p>
    <w:bookmarkEnd w:id="22"/>
    <w:bookmarkStart w:id="23" w:name="aperçus"/>
    <w:p>
      <w:pPr>
        <w:pStyle w:val="21"/>
      </w:pPr>
      <w:r>
        <w:t xml:space="preserve">Aperçus</w:t>
      </w:r>
    </w:p>
    <w:p>
      <w:pPr>
        <w:numPr>
          <w:ilvl w:val="0"/>
          <w:numId w:val="1003"/>
        </w:numPr>
      </w:pPr>
      <w:r>
        <w:t xml:space="preserve">Speaker 1</w:t>
      </w:r>
    </w:p>
    <w:p>
      <w:pPr>
        <w:pStyle w:val="Compact"/>
        <w:numPr>
          <w:ilvl w:val="1"/>
          <w:numId w:val="1004"/>
        </w:numPr>
      </w:pPr>
      <w:r>
        <w:t xml:space="preserve">Le document classe à tort des paramètres dynamiques (phases d’asymétrie, différences de masse) dans une catégorie purement géométrique (</w:t>
      </w:r>
      <w:r>
        <w:t xml:space="preserve">“orientation”</w:t>
      </w:r>
      <w:r>
        <w:t xml:space="preserve">).</w:t>
      </w:r>
    </w:p>
    <w:p>
      <w:pPr>
        <w:pStyle w:val="Compact"/>
        <w:numPr>
          <w:ilvl w:val="1"/>
          <w:numId w:val="1004"/>
        </w:numPr>
      </w:pPr>
      <w:r>
        <w:t xml:space="preserve">Analogie optique : l’angle d’un prisme (géométrie) ne doit pas être confondu avec la fréquence de la lumière (dynamique).</w:t>
      </w:r>
    </w:p>
    <w:p>
      <w:pPr>
        <w:pStyle w:val="Compact"/>
        <w:numPr>
          <w:ilvl w:val="1"/>
          <w:numId w:val="1004"/>
        </w:numPr>
      </w:pPr>
      <w:r>
        <w:t xml:space="preserve">Résume les critiques : gestion des grandeurs oscillatoires,</w:t>
      </w:r>
      <w:r>
        <w:t xml:space="preserve"> </w:t>
      </w:r>
      <w:r>
        <w:t xml:space="preserve">“couplage modèle-accès”</w:t>
      </w:r>
      <w:r>
        <w:t xml:space="preserve"> </w:t>
      </w:r>
      <w:r>
        <w:t xml:space="preserve">en cosmologie, et besoin de trajectoires de stabilisation.</w:t>
      </w:r>
    </w:p>
    <w:p>
      <w:pPr>
        <w:numPr>
          <w:ilvl w:val="0"/>
          <w:numId w:val="1004"/>
        </w:numPr>
      </w:pPr>
      <w:r>
        <w:t xml:space="preserve">Speaker 2</w:t>
      </w:r>
    </w:p>
    <w:p>
      <w:pPr>
        <w:pStyle w:val="Compact"/>
        <w:numPr>
          <w:ilvl w:val="1"/>
          <w:numId w:val="1005"/>
        </w:numPr>
      </w:pPr>
      <w:r>
        <w:t xml:space="preserve">La matrice force des dynamiques temporelles dans des catégories géométriques, créant une friction.</w:t>
      </w:r>
    </w:p>
    <w:p>
      <w:pPr>
        <w:pStyle w:val="Compact"/>
        <w:numPr>
          <w:ilvl w:val="1"/>
          <w:numId w:val="1005"/>
        </w:numPr>
      </w:pPr>
      <w:r>
        <w:t xml:space="preserve">Propose un sous-axe</w:t>
      </w:r>
      <w:r>
        <w:t xml:space="preserve"> </w:t>
      </w:r>
      <w:r>
        <w:t xml:space="preserve">“architectures de transition”</w:t>
      </w:r>
      <w:r>
        <w:t xml:space="preserve"> </w:t>
      </w:r>
      <w:r>
        <w:t xml:space="preserve">pour séparer paramètres de structure (angles) et moteurs d’interférence (différences de masse).</w:t>
      </w:r>
    </w:p>
    <w:p>
      <w:pPr>
        <w:pStyle w:val="Compact"/>
        <w:numPr>
          <w:ilvl w:val="1"/>
          <w:numId w:val="1005"/>
        </w:numPr>
      </w:pPr>
      <w:r>
        <w:t xml:space="preserve">Introduit le</w:t>
      </w:r>
      <w:r>
        <w:t xml:space="preserve"> </w:t>
      </w:r>
      <w:r>
        <w:t xml:space="preserve">“couplage modèle-accès”</w:t>
      </w:r>
      <w:r>
        <w:t xml:space="preserve"> </w:t>
      </w:r>
      <w:r>
        <w:t xml:space="preserve">pour documenter l’influence du modèle d’inférence (ex : Lambda-CDM) sur des mesures comme Sigma 8.</w:t>
      </w:r>
    </w:p>
    <w:p>
      <w:pPr>
        <w:pStyle w:val="Compact"/>
        <w:numPr>
          <w:ilvl w:val="1"/>
          <w:numId w:val="1005"/>
        </w:numPr>
      </w:pPr>
      <w:r>
        <w:t xml:space="preserve">Remplace l’évaluation statique par une</w:t>
      </w:r>
      <w:r>
        <w:t xml:space="preserve"> </w:t>
      </w:r>
      <w:r>
        <w:t xml:space="preserve">“trajectoire de stabilisation”</w:t>
      </w:r>
      <w:r>
        <w:t xml:space="preserve"> </w:t>
      </w:r>
      <w:r>
        <w:t xml:space="preserve">(converge, diverge, se fige), afin de refléter l’évolution réelle des constantes.</w:t>
      </w:r>
    </w:p>
    <w:bookmarkEnd w:id="23"/>
    <w:bookmarkStart w:id="24" w:name="développements"/>
    <w:p>
      <w:pPr>
        <w:pStyle w:val="21"/>
      </w:pPr>
      <w:r>
        <w:t xml:space="preserve">Développements</w:t>
      </w:r>
    </w:p>
    <w:p>
      <w:pPr>
        <w:numPr>
          <w:ilvl w:val="0"/>
          <w:numId w:val="1006"/>
        </w:numPr>
      </w:pPr>
      <w:r>
        <w:t xml:space="preserve">Speaker 1 : Concrètement, ça donne quoi pour l’auteur ? Comment modifier le tableur sans tout casser ?</w:t>
      </w:r>
    </w:p>
    <w:p>
      <w:pPr>
        <w:pStyle w:val="Compact"/>
        <w:numPr>
          <w:ilvl w:val="1"/>
          <w:numId w:val="1007"/>
        </w:numPr>
      </w:pPr>
      <w:r>
        <w:t xml:space="preserve">Speaker 2 : Propose une modification</w:t>
      </w:r>
      <w:r>
        <w:t xml:space="preserve"> </w:t>
      </w:r>
      <w:r>
        <w:t xml:space="preserve">“chirurgicale”</w:t>
      </w:r>
      <w:r>
        <w:t xml:space="preserve">. Pour les neutrinos, plutôt que classer la phase delta CP sous</w:t>
      </w:r>
      <w:r>
        <w:t xml:space="preserve"> </w:t>
      </w:r>
      <w:r>
        <w:t xml:space="preserve">“orientation complexe”</w:t>
      </w:r>
      <w:r>
        <w:t xml:space="preserve">, créer un champ</w:t>
      </w:r>
      <w:r>
        <w:t xml:space="preserve"> </w:t>
      </w:r>
      <w:r>
        <w:t xml:space="preserve">“rôle dans l’amplitude de transition”</w:t>
      </w:r>
      <w:r>
        <w:t xml:space="preserve"> </w:t>
      </w:r>
      <w:r>
        <w:t xml:space="preserve">pour séparer paramètres d’espace (angles) et moteurs d’interférence (différences de masse).</w:t>
      </w:r>
    </w:p>
    <w:p>
      <w:pPr>
        <w:pStyle w:val="Compact"/>
        <w:numPr>
          <w:ilvl w:val="1"/>
          <w:numId w:val="1007"/>
        </w:numPr>
      </w:pPr>
      <w:r>
        <w:t xml:space="preserve">Speaker 1 : Quid de la matrice CKM des quarks, traitée de la même manière ?</w:t>
      </w:r>
    </w:p>
    <w:p>
      <w:pPr>
        <w:pStyle w:val="Compact"/>
        <w:numPr>
          <w:ilvl w:val="1"/>
          <w:numId w:val="1007"/>
        </w:numPr>
      </w:pPr>
      <w:r>
        <w:t xml:space="preserve">Speaker 2 : Ajouter un critère</w:t>
      </w:r>
      <w:r>
        <w:t xml:space="preserve"> </w:t>
      </w:r>
      <w:r>
        <w:t xml:space="preserve">“manifestation phénoménologique”</w:t>
      </w:r>
      <w:r>
        <w:t xml:space="preserve">. Les quarks, confinés, expriment le désalignement par des désintégrations locales, alors que les neutrinos se propagent sur de longues distances. Ce critère justifie leur regroupement tout en explicitant des dynamiques différentes.</w:t>
      </w:r>
    </w:p>
    <w:p>
      <w:pPr>
        <w:numPr>
          <w:ilvl w:val="0"/>
          <w:numId w:val="1007"/>
        </w:numPr>
      </w:pPr>
      <w:r>
        <w:t xml:space="preserve">Speaker 1 : Transition vers la deuxième critique : le document sépare strictement la grandeur et la façon dont on l’observe.</w:t>
      </w:r>
    </w:p>
    <w:p>
      <w:pPr>
        <w:pStyle w:val="Compact"/>
        <w:numPr>
          <w:ilvl w:val="1"/>
          <w:numId w:val="1008"/>
        </w:numPr>
      </w:pPr>
      <w:r>
        <w:t xml:space="preserve">Speaker 2 : Confirme que c’est problématique : la séparation</w:t>
      </w:r>
      <w:r>
        <w:t xml:space="preserve"> </w:t>
      </w:r>
      <w:r>
        <w:t xml:space="preserve">“régime de définition physique”</w:t>
      </w:r>
      <w:r>
        <w:t xml:space="preserve"> </w:t>
      </w:r>
      <w:r>
        <w:t xml:space="preserve">vs</w:t>
      </w:r>
      <w:r>
        <w:t xml:space="preserve"> </w:t>
      </w:r>
      <w:r>
        <w:t xml:space="preserve">“régime d’accès épistémique”</w:t>
      </w:r>
      <w:r>
        <w:t xml:space="preserve"> </w:t>
      </w:r>
      <w:r>
        <w:t xml:space="preserve">sous-estime l’impact du modèle.</w:t>
      </w:r>
    </w:p>
    <w:p>
      <w:pPr>
        <w:pStyle w:val="Compact"/>
        <w:numPr>
          <w:ilvl w:val="1"/>
          <w:numId w:val="1008"/>
        </w:numPr>
      </w:pPr>
      <w:r>
        <w:t xml:space="preserve">Speaker 1 : Analogie : l’auteur sépare l’objet de son ombre, alors qu’en cosmologie la</w:t>
      </w:r>
      <w:r>
        <w:t xml:space="preserve"> </w:t>
      </w:r>
      <w:r>
        <w:t xml:space="preserve">“lampe”</w:t>
      </w:r>
      <w:r>
        <w:t xml:space="preserve"> </w:t>
      </w:r>
      <w:r>
        <w:t xml:space="preserve">(le modèle) modifie la forme de l’ombre (l’observation).</w:t>
      </w:r>
    </w:p>
    <w:p>
      <w:pPr>
        <w:pStyle w:val="Compact"/>
        <w:numPr>
          <w:ilvl w:val="1"/>
          <w:numId w:val="1008"/>
        </w:numPr>
      </w:pPr>
      <w:r>
        <w:t xml:space="preserve">Speaker 2 : Valide l’analogie et propose de documenter le modèle d’inférence dans le régime d’accès via un</w:t>
      </w:r>
      <w:r>
        <w:t xml:space="preserve"> </w:t>
      </w:r>
      <w:r>
        <w:t xml:space="preserve">“couplage modèle-accès”</w:t>
      </w:r>
      <w:r>
        <w:t xml:space="preserve">. Pour Sigma 8, séparer données brutes (lensing faible) et moteur d’inférence (Lambda-CDM).</w:t>
      </w:r>
    </w:p>
    <w:p>
      <w:pPr>
        <w:numPr>
          <w:ilvl w:val="0"/>
          <w:numId w:val="1008"/>
        </w:numPr>
      </w:pPr>
      <w:r>
        <w:t xml:space="preserve">Speaker 1 : Question sur la certitude scientifique : si l’accès dépend du modèle et des tensions, comment évaluer la solidité d’une constante ?</w:t>
      </w:r>
    </w:p>
    <w:p>
      <w:pPr>
        <w:pStyle w:val="Compact"/>
        <w:numPr>
          <w:ilvl w:val="1"/>
          <w:numId w:val="1009"/>
        </w:numPr>
      </w:pPr>
      <w:r>
        <w:t xml:space="preserve">Speaker 2 : Introduit la troisième critique : les</w:t>
      </w:r>
      <w:r>
        <w:t xml:space="preserve"> </w:t>
      </w:r>
      <w:r>
        <w:t xml:space="preserve">“niveaux de stabilisation”</w:t>
      </w:r>
      <w:r>
        <w:t xml:space="preserve"> </w:t>
      </w:r>
      <w:r>
        <w:t xml:space="preserve">sont trop statiques et masquent les tensions.</w:t>
      </w:r>
    </w:p>
    <w:p>
      <w:pPr>
        <w:pStyle w:val="Compact"/>
        <w:numPr>
          <w:ilvl w:val="1"/>
          <w:numId w:val="1009"/>
        </w:numPr>
      </w:pPr>
      <w:r>
        <w:t xml:space="preserve">Speaker 1 : Note la clarté du système (</w:t>
      </w:r>
      <w:r>
        <w:t xml:space="preserve">“Forte”</w:t>
      </w:r>
      <w:r>
        <w:t xml:space="preserve">,</w:t>
      </w:r>
      <w:r>
        <w:t xml:space="preserve"> </w:t>
      </w:r>
      <w:r>
        <w:t xml:space="preserve">“partielle”</w:t>
      </w:r>
      <w:r>
        <w:t xml:space="preserve">) mais sa rigidité.</w:t>
      </w:r>
    </w:p>
    <w:p>
      <w:pPr>
        <w:pStyle w:val="Compact"/>
        <w:numPr>
          <w:ilvl w:val="1"/>
          <w:numId w:val="1009"/>
        </w:numPr>
      </w:pPr>
      <w:r>
        <w:t xml:space="preserve">Speaker 2 : Explique que cela n’indique ni consolidation ni problématisation (ex : H0). Propose une</w:t>
      </w:r>
      <w:r>
        <w:t xml:space="preserve"> </w:t>
      </w:r>
      <w:r>
        <w:t xml:space="preserve">“trajectoire de stabilisation”</w:t>
      </w:r>
      <w:r>
        <w:t xml:space="preserve"> </w:t>
      </w:r>
      <w:r>
        <w:t xml:space="preserve">indiquant convergence, divergence, ou figement par convention.</w:t>
      </w:r>
    </w:p>
    <w:p>
      <w:pPr>
        <w:numPr>
          <w:ilvl w:val="0"/>
          <w:numId w:val="1009"/>
        </w:numPr>
      </w:pPr>
      <w:r>
        <w:t xml:space="preserve">Speaker 1 : Application concrète pour H0 ?</w:t>
      </w:r>
    </w:p>
    <w:p>
      <w:pPr>
        <w:pStyle w:val="Compact"/>
        <w:numPr>
          <w:ilvl w:val="1"/>
          <w:numId w:val="1010"/>
        </w:numPr>
      </w:pPr>
      <w:r>
        <w:t xml:space="preserve">Speaker 2 : Remplacer</w:t>
      </w:r>
      <w:r>
        <w:t xml:space="preserve"> </w:t>
      </w:r>
      <w:r>
        <w:t xml:space="preserve">“forte mais discordante”</w:t>
      </w:r>
      <w:r>
        <w:t xml:space="preserve"> </w:t>
      </w:r>
      <w:r>
        <w:t xml:space="preserve">par un vecteur descriptif :</w:t>
      </w:r>
      <w:r>
        <w:t xml:space="preserve"> </w:t>
      </w:r>
      <w:r>
        <w:t xml:space="preserve">“convergence locale forte, divergence inter-réseaux”</w:t>
      </w:r>
      <w:r>
        <w:t xml:space="preserve">, clarifiant le conflit entre mesures de l’univers local et primordial.</w:t>
      </w:r>
    </w:p>
    <w:p>
      <w:pPr>
        <w:pStyle w:val="Compact"/>
        <w:numPr>
          <w:ilvl w:val="1"/>
          <w:numId w:val="1010"/>
        </w:numPr>
      </w:pPr>
      <w:r>
        <w:t xml:space="preserve">Speaker 1 : Traitement des constantes du SI ?</w:t>
      </w:r>
    </w:p>
    <w:p>
      <w:pPr>
        <w:pStyle w:val="Compact"/>
        <w:numPr>
          <w:ilvl w:val="1"/>
          <w:numId w:val="1010"/>
        </w:numPr>
      </w:pPr>
      <w:r>
        <w:t xml:space="preserve">Speaker 2 : Qualifier de</w:t>
      </w:r>
      <w:r>
        <w:t xml:space="preserve"> </w:t>
      </w:r>
      <w:r>
        <w:t xml:space="preserve">“stabilisation absorbée”</w:t>
      </w:r>
      <w:r>
        <w:t xml:space="preserve"> </w:t>
      </w:r>
      <w:r>
        <w:t xml:space="preserve">celles transférées à une définition conventionnelle, et libérer l’axe empirique pour les constantes en évolution. Pour la phase delta-CP des neutrinos :</w:t>
      </w:r>
      <w:r>
        <w:t xml:space="preserve"> </w:t>
      </w:r>
      <w:r>
        <w:t xml:space="preserve">“stabilisation divergente selon l’ordre des masses”</w:t>
      </w:r>
      <w:r>
        <w:t xml:space="preserve">, indiquant le blocage actuel de la mesure.</w:t>
      </w:r>
    </w:p>
    <w:p>
      <w:pPr>
        <w:pStyle w:val="a8"/>
      </w:pPr>
      <w:r>
        <w:rPr>
          <w:b/>
          <w:bCs/>
        </w:rPr>
        <w:t xml:space="preserve">Suggestions de l’IA</w:t>
      </w:r>
      <w:r>
        <w:br/>
      </w:r>
      <w:r>
        <w:t xml:space="preserve">D’après la transcription, certaines questions de l’interview peuvent être optimisées :</w:t>
      </w:r>
      <w:r>
        <w:br/>
      </w:r>
      <w:r>
        <w:t xml:space="preserve">Les questions de Speaker 1 structurent efficacement la critique. En suivi du</w:t>
      </w:r>
      <w:r>
        <w:t xml:space="preserve"> </w:t>
      </w:r>
      <w:r>
        <w:t xml:space="preserve">“couplage modèle-accès”</w:t>
      </w:r>
      <w:r>
        <w:t xml:space="preserve">, on aurait pu demander :</w:t>
      </w:r>
      <w:r>
        <w:t xml:space="preserve"> </w:t>
      </w:r>
      <w:r>
        <w:t xml:space="preserve">“En introduisant ce</w:t>
      </w:r>
      <w:r>
        <w:t xml:space="preserve"> </w:t>
      </w:r>
      <w:r>
        <w:t xml:space="preserve">‘couplage modèle-accès’</w:t>
      </w:r>
      <w:r>
        <w:t xml:space="preserve">, ne risque-t-on pas de rendre la matrice illisible ou trop complexe pour un non-spécialiste ? Comment préserver la clarté tout en ajoutant cette couche de complexité ?”</w:t>
      </w:r>
      <w:r>
        <w:t xml:space="preserve">. Cela aurait exploré les implications pratiques et la mise en œuvre.</w:t>
      </w:r>
    </w:p>
    <w:p>
      <w:pPr>
        <w:pStyle w:val="a8"/>
      </w:pPr>
      <w:r>
        <w:t xml:space="preserve">En fin de discussion, après la</w:t>
      </w:r>
      <w:r>
        <w:t xml:space="preserve"> </w:t>
      </w:r>
      <w:r>
        <w:t xml:space="preserve">“trajectoire de stabilisation”</w:t>
      </w:r>
      <w:r>
        <w:t xml:space="preserve">, une question plus large aurait pu ouvrir la perspective :</w:t>
      </w:r>
      <w:r>
        <w:t xml:space="preserve"> </w:t>
      </w:r>
      <w:r>
        <w:t xml:space="preserve">“Si cette approche dynamique était adoptée à grande échelle, quel impact aurait-elle sur la communication scientifique au grand public ? Comment expliquer qu’une</w:t>
      </w:r>
      <w:r>
        <w:t xml:space="preserve"> </w:t>
      </w:r>
      <w:r>
        <w:t xml:space="preserve">‘constante’</w:t>
      </w:r>
      <w:r>
        <w:t xml:space="preserve"> </w:t>
      </w:r>
      <w:r>
        <w:t xml:space="preserve">est en réalité une</w:t>
      </w:r>
      <w:r>
        <w:t xml:space="preserve"> </w:t>
      </w:r>
      <w:r>
        <w:t xml:space="preserve">‘trajectoire en mouvement’</w:t>
      </w:r>
      <w:r>
        <w:t xml:space="preserve"> </w:t>
      </w:r>
      <w:r>
        <w:t xml:space="preserve">sans éroder la confiance dans la science ?”</w:t>
      </w:r>
      <w:r>
        <w:t xml:space="preserve">. Cela relie l’analyse technique à ses conséquences sociétales et philosophiques.</w:t>
      </w:r>
    </w:p>
    <w:bookmarkEnd w:id="24"/>
    <w:bookmarkEnd w:id="25"/>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2026-07-10T05:23:03Z</dcterms:created>
  <dcterms:modified xsi:type="dcterms:W3CDTF">2026-07-10T05:23:03Z</dcterms:modified>
</cp:coreProperties>
</file>

<file path=docProps/custom.xml><?xml version="1.0" encoding="utf-8"?>
<Properties xmlns="http://schemas.openxmlformats.org/officeDocument/2006/custom-properties" xmlns:vt="http://schemas.openxmlformats.org/officeDocument/2006/docPropsVTypes"/>
</file>