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913da5be9e8f7a69c00c685cf7e22a570e8dda5"/>
    <w:p>
      <w:pPr>
        <w:pStyle w:val="1"/>
      </w:pPr>
      <w:r>
        <w:t xml:space="preserve">Refondre_la_taxonomie_des_constantes_physiques</w:t>
      </w:r>
    </w:p>
    <w:p>
      <w:r>
        <w:pict>
          <v:rect style="width:0;height:1.5pt" o:hralign="center" o:hrstd="t" o:hr="t"/>
        </w:pict>
      </w:r>
    </w:p>
    <w:p>
      <w:pPr>
        <w:pStyle w:val="a8"/>
      </w:pPr>
      <w:r>
        <w:t xml:space="preserve">Date et heure : 2026-07-10 07:00:08</w:t>
      </w:r>
      <w:r>
        <w:br/>
      </w:r>
      <w:r>
        <w:t xml:space="preserve">Lieu : [Insérer le lieu]</w:t>
      </w:r>
      <w:r>
        <w:br/>
      </w:r>
      <w:r>
        <w:t xml:space="preserve">Personne interrogée : [Insérer le nom]</w:t>
      </w:r>
    </w:p>
    <w:bookmarkStart w:id="20" w:name="résumé-en-bref"/>
    <w:p>
      <w:pPr>
        <w:pStyle w:val="21"/>
      </w:pPr>
      <w:r>
        <w:t xml:space="preserve">Résumé en bref</w:t>
      </w:r>
    </w:p>
    <w:p>
      <w:pPr>
        <w:pStyle w:val="FirstParagraph"/>
      </w:pPr>
      <w:r>
        <w:t xml:space="preserve">Les intervenants analysent un manuscrit proposant une taxonomie des constantes physiques. Ils identifient trois faiblesses majeures : une distinction superflue entre fonctions transversales et architecturales, une confusion entre les aspects physiques (ontologiques) et les méthodes de mesure (épistémiques), et l’utilisation d’une catégorie</w:t>
      </w:r>
      <w:r>
        <w:t xml:space="preserve"> </w:t>
      </w:r>
      <w:r>
        <w:t xml:space="preserve">“relation”</w:t>
      </w:r>
      <w:r>
        <w:t xml:space="preserve"> </w:t>
      </w:r>
      <w:r>
        <w:t xml:space="preserve">trop vague. Ils proposent de fusionner les fonctions, de séparer l’ontologie de l’épistémologie, et de supprimer la catégorie</w:t>
      </w:r>
      <w:r>
        <w:t xml:space="preserve"> </w:t>
      </w:r>
      <w:r>
        <w:t xml:space="preserve">“relation”</w:t>
      </w:r>
      <w:r>
        <w:t xml:space="preserve"> </w:t>
      </w:r>
      <w:r>
        <w:t xml:space="preserve">pour forcer une classification plus précise basée sur la dynamique physique réelle.</w:t>
      </w:r>
    </w:p>
    <w:bookmarkEnd w:id="20"/>
    <w:bookmarkStart w:id="21" w:name="introduction"/>
    <w:p>
      <w:pPr>
        <w:pStyle w:val="21"/>
      </w:pPr>
      <w:r>
        <w:t xml:space="preserve">Introduction</w:t>
      </w:r>
    </w:p>
    <w:p>
      <w:pPr>
        <w:pStyle w:val="Compact"/>
        <w:numPr>
          <w:ilvl w:val="0"/>
          <w:numId w:val="1001"/>
        </w:numPr>
      </w:pPr>
      <w:r>
        <w:t xml:space="preserve">Speaker 1: Cet intervenant guide l’analyse critique du manuscrit. Il structure la discussion en trois points principaux, utilisant des analogies (comme la classification des éléments d’un roman) pour clarifier les problèmes conceptuels. Il souligne la complexité inutile de la taxonomie actuelle, la confusion entre les régimes physiques et épistémiques, et le caractère fourre-tout de la catégorie</w:t>
      </w:r>
      <w:r>
        <w:t xml:space="preserve"> </w:t>
      </w:r>
      <w:r>
        <w:t xml:space="preserve">“relation”</w:t>
      </w:r>
      <w:r>
        <w:t xml:space="preserve">. Il conclut en synthétisant les trois recommandations clés pour améliorer la méthode.</w:t>
      </w:r>
    </w:p>
    <w:p>
      <w:pPr>
        <w:pStyle w:val="Compact"/>
        <w:numPr>
          <w:ilvl w:val="0"/>
          <w:numId w:val="1001"/>
        </w:numPr>
      </w:pPr>
      <w:r>
        <w:t xml:space="preserve">Speaker 2: Cet intervenant intervient brièvement au début pour appuyer le premier point de critique. Il souligne que la distinction formelle entre fonctions transversales et architecturales impose une charge cognitive énorme et crée des distinctions artificielles, forçant l’utilisateur à se poser des questions sémantiques plutôt que physiques.</w:t>
      </w:r>
    </w:p>
    <w:p>
      <w:pPr>
        <w:pStyle w:val="Compact"/>
        <w:numPr>
          <w:ilvl w:val="0"/>
          <w:numId w:val="1001"/>
        </w:numPr>
      </w:pPr>
      <w:r>
        <w:t xml:space="preserve">Speaker 3: Cet intervenant développe les critiques initiées par le Speaker 1. Il fournit des exemples concrets (seuil, constante cosmologique) pour illustrer les problèmes. Il propose des solutions spécifiques, comme la fusion des fonctions en un</w:t>
      </w:r>
      <w:r>
        <w:t xml:space="preserve"> </w:t>
      </w:r>
      <w:r>
        <w:t xml:space="preserve">“rôle contextuel”</w:t>
      </w:r>
      <w:r>
        <w:t xml:space="preserve">, la création de deux grilles orthogonales pour séparer le physique de l’épistémique, et la redistribution des constantes classées sous</w:t>
      </w:r>
      <w:r>
        <w:t xml:space="preserve"> </w:t>
      </w:r>
      <w:r>
        <w:t xml:space="preserve">“relation”</w:t>
      </w:r>
      <w:r>
        <w:t xml:space="preserve"> </w:t>
      </w:r>
      <w:r>
        <w:t xml:space="preserve">dans des familles plus pertinentes basées sur leur véritable dynamique (hiérarchie d’échelle, dynamique oscillatoire).</w:t>
      </w:r>
    </w:p>
    <w:bookmarkEnd w:id="21"/>
    <w:bookmarkStart w:id="22" w:name="points-clés"/>
    <w:p>
      <w:pPr>
        <w:pStyle w:val="21"/>
      </w:pPr>
      <w:r>
        <w:t xml:space="preserve">Points clés</w:t>
      </w:r>
    </w:p>
    <w:p>
      <w:pPr>
        <w:pStyle w:val="Compact"/>
        <w:numPr>
          <w:ilvl w:val="0"/>
          <w:numId w:val="1002"/>
        </w:numPr>
      </w:pPr>
      <w:r>
        <w:t xml:space="preserve">La distinction entre fonctions</w:t>
      </w:r>
      <w:r>
        <w:t xml:space="preserve"> </w:t>
      </w:r>
      <w:r>
        <w:t xml:space="preserve">“transversales”</w:t>
      </w:r>
      <w:r>
        <w:t xml:space="preserve"> </w:t>
      </w:r>
      <w:r>
        <w:t xml:space="preserve">et</w:t>
      </w:r>
      <w:r>
        <w:t xml:space="preserve"> </w:t>
      </w:r>
      <w:r>
        <w:t xml:space="preserve">“architecturales”</w:t>
      </w:r>
      <w:r>
        <w:t xml:space="preserve"> </w:t>
      </w:r>
      <w:r>
        <w:t xml:space="preserve">dans la taxonomie est artificielle et alourdit la méthode sans apporter de clarté physique. Il est suggéré de les fusionner en une seule catégorie de</w:t>
      </w:r>
      <w:r>
        <w:t xml:space="preserve"> </w:t>
      </w:r>
      <w:r>
        <w:t xml:space="preserve">“rôle contextuel”</w:t>
      </w:r>
      <w:r>
        <w:t xml:space="preserve">.</w:t>
      </w:r>
    </w:p>
    <w:p>
      <w:pPr>
        <w:pStyle w:val="Compact"/>
        <w:numPr>
          <w:ilvl w:val="0"/>
          <w:numId w:val="1002"/>
        </w:numPr>
      </w:pPr>
      <w:r>
        <w:t xml:space="preserve">La méthode confond les architectures physiques (constitutives de la nature, comme le secteur de Higgs) avec les architectures épistémiques ou conventionnelles (liées à la mesure humaine, comme le Système International), ce qui affaiblit sa cohérence. Il est recommandé de les séparer en deux grilles d’analyse orthogonales.</w:t>
      </w:r>
    </w:p>
    <w:p>
      <w:pPr>
        <w:pStyle w:val="Compact"/>
        <w:numPr>
          <w:ilvl w:val="0"/>
          <w:numId w:val="1002"/>
        </w:numPr>
      </w:pPr>
      <w:r>
        <w:t xml:space="preserve">La famille</w:t>
      </w:r>
      <w:r>
        <w:t xml:space="preserve"> </w:t>
      </w:r>
      <w:r>
        <w:t xml:space="preserve">“relation”</w:t>
      </w:r>
      <w:r>
        <w:t xml:space="preserve"> </w:t>
      </w:r>
      <w:r>
        <w:t xml:space="preserve">est une catégorie fourre-tout qui regroupe des constantes sans lien dynamique réel, masquant leur véritable fonction physique. Il est impératif de supprimer cette famille et de reclasser ses membres en fonction de leur dynamique propre (par exemple, hiérarchie d’échelle, dynamique oscillatoire).</w:t>
      </w:r>
    </w:p>
    <w:bookmarkEnd w:id="22"/>
    <w:bookmarkStart w:id="23" w:name="aperçus"/>
    <w:p>
      <w:pPr>
        <w:pStyle w:val="21"/>
      </w:pPr>
      <w:r>
        <w:t xml:space="preserve">Aperçus</w:t>
      </w:r>
    </w:p>
    <w:p>
      <w:pPr>
        <w:numPr>
          <w:ilvl w:val="0"/>
          <w:numId w:val="1003"/>
        </w:numPr>
      </w:pPr>
      <w:r>
        <w:t xml:space="preserve">Speaker 1</w:t>
      </w:r>
    </w:p>
    <w:p>
      <w:pPr>
        <w:pStyle w:val="Compact"/>
        <w:numPr>
          <w:ilvl w:val="1"/>
          <w:numId w:val="1004"/>
        </w:numPr>
      </w:pPr>
      <w:r>
        <w:t xml:space="preserve">L’architecture du document superpose des fonctions transversales et architecturales, ce qui nuit à la clarté.</w:t>
      </w:r>
    </w:p>
    <w:p>
      <w:pPr>
        <w:pStyle w:val="Compact"/>
        <w:numPr>
          <w:ilvl w:val="1"/>
          <w:numId w:val="1004"/>
        </w:numPr>
      </w:pPr>
      <w:r>
        <w:t xml:space="preserve">La méthode mélange le régime physique d’une grandeur avec son régime d’accès épistémique, créant un risque de confusion conceptuelle.</w:t>
      </w:r>
    </w:p>
    <w:p>
      <w:pPr>
        <w:pStyle w:val="Compact"/>
        <w:numPr>
          <w:ilvl w:val="1"/>
          <w:numId w:val="1004"/>
        </w:numPr>
      </w:pPr>
      <w:r>
        <w:t xml:space="preserve">La famille</w:t>
      </w:r>
      <w:r>
        <w:t xml:space="preserve"> </w:t>
      </w:r>
      <w:r>
        <w:t xml:space="preserve">“relation”</w:t>
      </w:r>
      <w:r>
        <w:t xml:space="preserve"> </w:t>
      </w:r>
      <w:r>
        <w:t xml:space="preserve">agit comme un réceptacle par défaut qui menace la précision de la taxonomie.</w:t>
      </w:r>
    </w:p>
    <w:p>
      <w:pPr>
        <w:pStyle w:val="Compact"/>
        <w:numPr>
          <w:ilvl w:val="1"/>
          <w:numId w:val="1004"/>
        </w:numPr>
      </w:pPr>
      <w:r>
        <w:t xml:space="preserve">Synthétise les trois recommandations finales : unifier les rôles, scinder les architectures en deux grilles, et dissoudre la famille</w:t>
      </w:r>
      <w:r>
        <w:t xml:space="preserve"> </w:t>
      </w:r>
      <w:r>
        <w:t xml:space="preserve">“relation”</w:t>
      </w:r>
      <w:r>
        <w:t xml:space="preserve">.</w:t>
      </w:r>
    </w:p>
    <w:p>
      <w:pPr>
        <w:numPr>
          <w:ilvl w:val="0"/>
          <w:numId w:val="1004"/>
        </w:numPr>
      </w:pPr>
      <w:r>
        <w:t xml:space="preserve">Speaker 2</w:t>
      </w:r>
    </w:p>
    <w:p>
      <w:pPr>
        <w:pStyle w:val="Compact"/>
        <w:numPr>
          <w:ilvl w:val="1"/>
          <w:numId w:val="1005"/>
        </w:numPr>
      </w:pPr>
      <w:r>
        <w:t xml:space="preserve">La distinction entre fonctions transversales et architecturales impose une charge cognitive importante et inutile.</w:t>
      </w:r>
    </w:p>
    <w:p>
      <w:pPr>
        <w:pStyle w:val="Compact"/>
        <w:numPr>
          <w:ilvl w:val="1"/>
          <w:numId w:val="1005"/>
        </w:numPr>
      </w:pPr>
      <w:r>
        <w:t xml:space="preserve">Cette séparation oblige l’utilisateur à réfléchir à la sémantique plutôt qu’à la physique, car les deux catégories répondent à la même question fondamentale sur le rôle contextuel d’une grandeur.</w:t>
      </w:r>
    </w:p>
    <w:p>
      <w:pPr>
        <w:numPr>
          <w:ilvl w:val="0"/>
          <w:numId w:val="1005"/>
        </w:numPr>
      </w:pPr>
      <w:r>
        <w:t xml:space="preserve">Speaker 3</w:t>
      </w:r>
    </w:p>
    <w:p>
      <w:pPr>
        <w:pStyle w:val="Compact"/>
        <w:numPr>
          <w:ilvl w:val="1"/>
          <w:numId w:val="1006"/>
        </w:numPr>
      </w:pPr>
      <w:r>
        <w:t xml:space="preserve">Propose de fusionner les fonctions transversales et architecturales en une seule catégorie nommée</w:t>
      </w:r>
      <w:r>
        <w:t xml:space="preserve"> </w:t>
      </w:r>
      <w:r>
        <w:t xml:space="preserve">“rôle contextuel”</w:t>
      </w:r>
      <w:r>
        <w:t xml:space="preserve"> </w:t>
      </w:r>
      <w:r>
        <w:t xml:space="preserve">ou</w:t>
      </w:r>
      <w:r>
        <w:t xml:space="preserve"> </w:t>
      </w:r>
      <w:r>
        <w:t xml:space="preserve">“fonction dynamique”</w:t>
      </w:r>
      <w:r>
        <w:t xml:space="preserve">.</w:t>
      </w:r>
    </w:p>
    <w:p>
      <w:pPr>
        <w:pStyle w:val="Compact"/>
        <w:numPr>
          <w:ilvl w:val="1"/>
          <w:numId w:val="1006"/>
        </w:numPr>
      </w:pPr>
      <w:r>
        <w:t xml:space="preserve">Suggère de séparer les architectures en deux grilles orthogonales : une pour le physique (constitutif) et une pour l’épistémique (méthode d’accès).</w:t>
      </w:r>
    </w:p>
    <w:p>
      <w:pPr>
        <w:pStyle w:val="Compact"/>
        <w:numPr>
          <w:ilvl w:val="1"/>
          <w:numId w:val="1006"/>
        </w:numPr>
      </w:pPr>
      <w:r>
        <w:t xml:space="preserve">Recommande de</w:t>
      </w:r>
      <w:r>
        <w:t xml:space="preserve"> </w:t>
      </w:r>
      <w:r>
        <w:t xml:space="preserve">“pulvériser”</w:t>
      </w:r>
      <w:r>
        <w:t xml:space="preserve"> </w:t>
      </w:r>
      <w:r>
        <w:t xml:space="preserve">la catégorie</w:t>
      </w:r>
      <w:r>
        <w:t xml:space="preserve"> </w:t>
      </w:r>
      <w:r>
        <w:t xml:space="preserve">“relation”</w:t>
      </w:r>
      <w:r>
        <w:t xml:space="preserve"> </w:t>
      </w:r>
      <w:r>
        <w:t xml:space="preserve">et de redistribuer ses constantes (ex: rapport de masse proton-électron, delta m² des neutrinos) dans des familles basées sur leur véritable moteur physique.</w:t>
      </w:r>
    </w:p>
    <w:bookmarkEnd w:id="23"/>
    <w:bookmarkStart w:id="24" w:name="chapitres"/>
    <w:p>
      <w:pPr>
        <w:pStyle w:val="21"/>
      </w:pPr>
      <w:r>
        <w:t xml:space="preserve">Chapitres</w:t>
      </w:r>
    </w:p>
    <w:p>
      <w:pPr>
        <w:numPr>
          <w:ilvl w:val="0"/>
          <w:numId w:val="1007"/>
        </w:numPr>
      </w:pPr>
      <w:r>
        <w:t xml:space="preserve">Speaker 1: Comment analysez-vous la structure globale du document et sa proposition de taxonomie ?</w:t>
      </w:r>
    </w:p>
    <w:p>
      <w:pPr>
        <w:pStyle w:val="Compact"/>
        <w:numPr>
          <w:ilvl w:val="1"/>
          <w:numId w:val="1008"/>
        </w:numPr>
      </w:pPr>
      <w:r>
        <w:t xml:space="preserve">Speaker 1: L’intervenant introduit le sujet en soulignant que la superposition complexe entre fonctions transversales et architecturales dans le manuscrit dilue la clarté taxonomique recherchée.</w:t>
      </w:r>
    </w:p>
    <w:p>
      <w:pPr>
        <w:pStyle w:val="Compact"/>
        <w:numPr>
          <w:ilvl w:val="1"/>
          <w:numId w:val="1008"/>
        </w:numPr>
      </w:pPr>
      <w:r>
        <w:t xml:space="preserve">Speaker 2: Confirme que c’est un point de friction majeur. La séparation formelle entre fonctions transversales (seuil, borne) et architecturales (fond) est poreuse et impose une charge cognitive énorme.</w:t>
      </w:r>
    </w:p>
    <w:p>
      <w:pPr>
        <w:pStyle w:val="Compact"/>
        <w:numPr>
          <w:ilvl w:val="1"/>
          <w:numId w:val="1008"/>
        </w:numPr>
      </w:pPr>
      <w:r>
        <w:t xml:space="preserve">Speaker 1: Précise que bien que l’intention de précision chirurgicale soit visible (Table de rang V.1.2), elle alourdit la méthode.</w:t>
      </w:r>
    </w:p>
    <w:p>
      <w:pPr>
        <w:pStyle w:val="Compact"/>
        <w:numPr>
          <w:ilvl w:val="1"/>
          <w:numId w:val="1008"/>
        </w:numPr>
      </w:pPr>
      <w:r>
        <w:t xml:space="preserve">Speaker 2: Explique que cette distinction est artificielle car les deux catégories répondent à la même question sur le rôle contextuel de la grandeur. La séparation est purement sémantique et non physique.</w:t>
      </w:r>
    </w:p>
    <w:p>
      <w:pPr>
        <w:numPr>
          <w:ilvl w:val="0"/>
          <w:numId w:val="1008"/>
        </w:numPr>
      </w:pPr>
      <w:r>
        <w:t xml:space="preserve">Speaker 1: Pourriez-vous clarifier ce problème avec une analogie et des exemples concrets ?</w:t>
      </w:r>
    </w:p>
    <w:p>
      <w:pPr>
        <w:pStyle w:val="Compact"/>
        <w:numPr>
          <w:ilvl w:val="1"/>
          <w:numId w:val="1009"/>
        </w:numPr>
      </w:pPr>
      <w:r>
        <w:t xml:space="preserve">Speaker 1: Compare cette classification à celle des éléments d’un roman par figure de style et par mécanisme narratif, où le débat devient stérile. Un seuil d’énergie et un paramètre d’état structurent tous deux l’intrigue physique de la même manière.</w:t>
      </w:r>
    </w:p>
    <w:p>
      <w:pPr>
        <w:pStyle w:val="Compact"/>
        <w:numPr>
          <w:ilvl w:val="1"/>
          <w:numId w:val="1009"/>
        </w:numPr>
      </w:pPr>
      <w:r>
        <w:t xml:space="preserve">Speaker 3: Approuve l’analogie. Il explique qu’une grandeur</w:t>
      </w:r>
      <w:r>
        <w:t xml:space="preserve"> </w:t>
      </w:r>
      <w:r>
        <w:t xml:space="preserve">“transversale”</w:t>
      </w:r>
      <w:r>
        <w:t xml:space="preserve"> </w:t>
      </w:r>
      <w:r>
        <w:t xml:space="preserve">comme un seuil a pour but physique de dicter la validité d’une théorie, ce qui est un rôle structurant.</w:t>
      </w:r>
    </w:p>
    <w:p>
      <w:pPr>
        <w:pStyle w:val="Compact"/>
        <w:numPr>
          <w:ilvl w:val="1"/>
          <w:numId w:val="1009"/>
        </w:numPr>
      </w:pPr>
      <w:r>
        <w:t xml:space="preserve">Speaker 1: Confirme que cela montre la contradiction inhérente.</w:t>
      </w:r>
    </w:p>
    <w:p>
      <w:pPr>
        <w:pStyle w:val="Compact"/>
        <w:numPr>
          <w:ilvl w:val="1"/>
          <w:numId w:val="1009"/>
        </w:numPr>
      </w:pPr>
      <w:r>
        <w:t xml:space="preserve">Speaker 3: Propose la solution : fusionner les deux niveaux en une seule catégorie</w:t>
      </w:r>
      <w:r>
        <w:t xml:space="preserve"> </w:t>
      </w:r>
      <w:r>
        <w:t xml:space="preserve">“rôle contextuel”</w:t>
      </w:r>
      <w:r>
        <w:t xml:space="preserve">.</w:t>
      </w:r>
    </w:p>
    <w:p>
      <w:pPr>
        <w:pStyle w:val="Compact"/>
        <w:numPr>
          <w:ilvl w:val="1"/>
          <w:numId w:val="1009"/>
        </w:numPr>
      </w:pPr>
      <w:r>
        <w:t xml:space="preserve">Speaker 1: Applique cette idée à la constante cosmologique (lambda) et à la masse du boson W, montrant que le texte actuel s’embourbe dans des distinctions complexes.</w:t>
      </w:r>
    </w:p>
    <w:p>
      <w:pPr>
        <w:pStyle w:val="Compact"/>
        <w:numPr>
          <w:ilvl w:val="1"/>
          <w:numId w:val="1009"/>
        </w:numPr>
      </w:pPr>
      <w:r>
        <w:t xml:space="preserve">Speaker 3: Montre comment la fusion résout le problème : lambda agit comme un fond dynamique et la masse du W comme un seuil de validité. Les deux exercent une influence structurante.</w:t>
      </w:r>
    </w:p>
    <w:p>
      <w:pPr>
        <w:numPr>
          <w:ilvl w:val="0"/>
          <w:numId w:val="1009"/>
        </w:numPr>
      </w:pPr>
      <w:r>
        <w:t xml:space="preserve">Speaker 1: Quel est le deuxième grand problème identifié dans la méthode, notamment concernant les architectures interfamilles ?</w:t>
      </w:r>
    </w:p>
    <w:p>
      <w:pPr>
        <w:pStyle w:val="Compact"/>
        <w:numPr>
          <w:ilvl w:val="1"/>
          <w:numId w:val="1010"/>
        </w:numPr>
      </w:pPr>
      <w:r>
        <w:t xml:space="preserve">Speaker 1: Introduit la deuxième critique : la méthode mélange le régime physique (constitutif) d’une grandeur avec son régime d’accès épistémique, créant une confusion conceptuelle.</w:t>
      </w:r>
    </w:p>
    <w:p>
      <w:pPr>
        <w:pStyle w:val="Compact"/>
        <w:numPr>
          <w:ilvl w:val="1"/>
          <w:numId w:val="1010"/>
        </w:numPr>
      </w:pPr>
      <w:r>
        <w:t xml:space="preserve">Speaker 3: Confirme que c’est dans la partie la plus ambitieuse du texte (architectures globales) que l’ontologie et l’épistémologie s’entrechoquent. Le texte met sur le même plan des architectures de nature différente : constitutive (saveur-Higgs), définitionnelle (Système International), de validité, et inférentielle (cosmologique).</w:t>
      </w:r>
    </w:p>
    <w:p>
      <w:pPr>
        <w:pStyle w:val="Compact"/>
        <w:numPr>
          <w:ilvl w:val="1"/>
          <w:numId w:val="1010"/>
        </w:numPr>
      </w:pPr>
      <w:r>
        <w:t xml:space="preserve">Speaker 1: Souligne que mettre le Système International (une convention) sur le même plan ontologique que le secteur de Higgs (une réalité physique) affaiblit la cohérence de la méthode.</w:t>
      </w:r>
    </w:p>
    <w:p>
      <w:pPr>
        <w:pStyle w:val="Compact"/>
        <w:numPr>
          <w:ilvl w:val="1"/>
          <w:numId w:val="1010"/>
        </w:numPr>
      </w:pPr>
      <w:r>
        <w:t xml:space="preserve">Speaker 3: Renforce l’idée : des termes comme</w:t>
      </w:r>
      <w:r>
        <w:t xml:space="preserve"> </w:t>
      </w:r>
      <w:r>
        <w:t xml:space="preserve">“inférentiel”</w:t>
      </w:r>
      <w:r>
        <w:t xml:space="preserve"> </w:t>
      </w:r>
      <w:r>
        <w:t xml:space="preserve">ou</w:t>
      </w:r>
      <w:r>
        <w:t xml:space="preserve"> </w:t>
      </w:r>
      <w:r>
        <w:t xml:space="preserve">“définitionnel”</w:t>
      </w:r>
      <w:r>
        <w:t xml:space="preserve"> </w:t>
      </w:r>
      <w:r>
        <w:t xml:space="preserve">décrivent notre méthode d’accès à la connaissance, et non la nature elle-même. On ne peut pas classer sur le même axe le fonctionnement de la nature et le mode d’emploi de nos instruments.</w:t>
      </w:r>
    </w:p>
    <w:p>
      <w:pPr>
        <w:numPr>
          <w:ilvl w:val="0"/>
          <w:numId w:val="1010"/>
        </w:numPr>
      </w:pPr>
      <w:r>
        <w:t xml:space="preserve">Speaker 1: Le statut</w:t>
      </w:r>
      <w:r>
        <w:t xml:space="preserve"> </w:t>
      </w:r>
      <w:r>
        <w:t xml:space="preserve">“inférentiel”</w:t>
      </w:r>
      <w:r>
        <w:t xml:space="preserve"> </w:t>
      </w:r>
      <w:r>
        <w:t xml:space="preserve">de l’architecture cosmologique n’est-il pas une exception justifiée, où la carte et le territoire se confondent ?</w:t>
      </w:r>
    </w:p>
    <w:p>
      <w:pPr>
        <w:pStyle w:val="Compact"/>
        <w:numPr>
          <w:ilvl w:val="1"/>
          <w:numId w:val="1011"/>
        </w:numPr>
      </w:pPr>
      <w:r>
        <w:t xml:space="preserve">Speaker 1: Joue l’avocat du diable en suggérant que, pour la cosmologie, notre seule réalité est l’inférence puisque nous sommes à l’intérieur du système.</w:t>
      </w:r>
    </w:p>
    <w:p>
      <w:pPr>
        <w:pStyle w:val="Compact"/>
        <w:numPr>
          <w:ilvl w:val="1"/>
          <w:numId w:val="1011"/>
        </w:numPr>
      </w:pPr>
      <w:r>
        <w:t xml:space="preserve">Speaker 3: Reconnaît la pertinence de cette tension philosophique mais maintient que, d’un point de vue taxonomique,</w:t>
      </w:r>
      <w:r>
        <w:t xml:space="preserve"> </w:t>
      </w:r>
      <w:r>
        <w:t xml:space="preserve">“la carte reste une carte”</w:t>
      </w:r>
      <w:r>
        <w:t xml:space="preserve">. L’évolution du cosmos est une réalité constitutive, même si notre accès est inférentiel.</w:t>
      </w:r>
    </w:p>
    <w:p>
      <w:pPr>
        <w:pStyle w:val="Compact"/>
        <w:numPr>
          <w:ilvl w:val="1"/>
          <w:numId w:val="1011"/>
        </w:numPr>
      </w:pPr>
      <w:r>
        <w:t xml:space="preserve">Speaker 3: Propose la solution fondamentale : séparer les architectures en deux grilles orthogonales distinctes.</w:t>
      </w:r>
    </w:p>
    <w:p>
      <w:pPr>
        <w:pStyle w:val="Compact"/>
        <w:numPr>
          <w:ilvl w:val="1"/>
          <w:numId w:val="1011"/>
        </w:numPr>
      </w:pPr>
      <w:r>
        <w:t xml:space="preserve">Speaker 1: Reformule : au lieu d’une liste plate, on aurait une grille pour les architectures physiques et une autre pour les architectures épistémiques.</w:t>
      </w:r>
    </w:p>
    <w:p>
      <w:pPr>
        <w:pStyle w:val="Compact"/>
        <w:numPr>
          <w:ilvl w:val="1"/>
          <w:numId w:val="1011"/>
        </w:numPr>
      </w:pPr>
      <w:r>
        <w:t xml:space="preserve">Speaker 3: Confirme que cela augmente le pouvoir explicatif. L’architecture cosmologique est justifiée sur la grille physique par l’articulation gravité/spatio-temporel, tandis que son accès inférentiel est décrit sur la seconde grille.</w:t>
      </w:r>
    </w:p>
    <w:p>
      <w:pPr>
        <w:pStyle w:val="Compact"/>
        <w:numPr>
          <w:ilvl w:val="1"/>
          <w:numId w:val="1011"/>
        </w:numPr>
      </w:pPr>
      <w:r>
        <w:t xml:space="preserve">Speaker 3: Montre comment cette double grille résout le problème de la classification de la constante de Boltzmann (KB), en séparant sa fonction physique (lien micro/macro) de son rôle définitionnel dans le SI.</w:t>
      </w:r>
    </w:p>
    <w:p>
      <w:pPr>
        <w:numPr>
          <w:ilvl w:val="0"/>
          <w:numId w:val="1011"/>
        </w:numPr>
      </w:pPr>
      <w:r>
        <w:t xml:space="preserve">Speaker 1: Passons au troisième point : quel est le problème avec la famille</w:t>
      </w:r>
      <w:r>
        <w:t xml:space="preserve"> </w:t>
      </w:r>
      <w:r>
        <w:t xml:space="preserve">“relation”</w:t>
      </w:r>
      <w:r>
        <w:t xml:space="preserve"> </w:t>
      </w:r>
      <w:r>
        <w:t xml:space="preserve">?</w:t>
      </w:r>
    </w:p>
    <w:p>
      <w:pPr>
        <w:pStyle w:val="Compact"/>
        <w:numPr>
          <w:ilvl w:val="1"/>
          <w:numId w:val="1012"/>
        </w:numPr>
      </w:pPr>
      <w:r>
        <w:t xml:space="preserve">Speaker 1: Introduit la troisième critique : la famille</w:t>
      </w:r>
      <w:r>
        <w:t xml:space="preserve"> </w:t>
      </w:r>
      <w:r>
        <w:t xml:space="preserve">“relation”</w:t>
      </w:r>
      <w:r>
        <w:t xml:space="preserve">, bien que qualifiée, agit comme un réceptacle par défaut qui menace la précision de la taxonomie.</w:t>
      </w:r>
    </w:p>
    <w:p>
      <w:pPr>
        <w:pStyle w:val="Compact"/>
        <w:numPr>
          <w:ilvl w:val="1"/>
          <w:numId w:val="1012"/>
        </w:numPr>
      </w:pPr>
      <w:r>
        <w:t xml:space="preserve">Speaker 3: Confirme, notant que l’auteur lui-même admet le danger de cette catégorie, car presque toute constante est une relation. C’est un mot-valise.</w:t>
      </w:r>
    </w:p>
    <w:p>
      <w:pPr>
        <w:pStyle w:val="Compact"/>
        <w:numPr>
          <w:ilvl w:val="1"/>
          <w:numId w:val="1012"/>
        </w:numPr>
      </w:pPr>
      <w:r>
        <w:t xml:space="preserve">Speaker 1: Qualifie le terme de</w:t>
      </w:r>
      <w:r>
        <w:t xml:space="preserve"> </w:t>
      </w:r>
      <w:r>
        <w:t xml:space="preserve">“signifiant vide”</w:t>
      </w:r>
      <w:r>
        <w:t xml:space="preserve">.</w:t>
      </w:r>
    </w:p>
    <w:p>
      <w:pPr>
        <w:pStyle w:val="Compact"/>
        <w:numPr>
          <w:ilvl w:val="1"/>
          <w:numId w:val="1012"/>
        </w:numPr>
      </w:pPr>
      <w:r>
        <w:t xml:space="preserve">Speaker 3: Approuve.</w:t>
      </w:r>
    </w:p>
    <w:p>
      <w:pPr>
        <w:pStyle w:val="Compact"/>
        <w:numPr>
          <w:ilvl w:val="1"/>
          <w:numId w:val="1012"/>
        </w:numPr>
      </w:pPr>
      <w:r>
        <w:t xml:space="preserve">Speaker 1: Note que l’auteur tente de colmater le problème avec des sous-types stricts, mais maintient</w:t>
      </w:r>
      <w:r>
        <w:t xml:space="preserve"> </w:t>
      </w:r>
      <w:r>
        <w:t xml:space="preserve">“relation”</w:t>
      </w:r>
      <w:r>
        <w:t xml:space="preserve"> </w:t>
      </w:r>
      <w:r>
        <w:t xml:space="preserve">comme une famille supérieure.</w:t>
      </w:r>
    </w:p>
    <w:p>
      <w:pPr>
        <w:pStyle w:val="Compact"/>
        <w:numPr>
          <w:ilvl w:val="1"/>
          <w:numId w:val="1012"/>
        </w:numPr>
      </w:pPr>
      <w:r>
        <w:t xml:space="preserve">Speaker 3: Souligne que conserver cette famille au sommet crée une asymétrie et regroupe des grandeurs sans rapport dynamique (ex: paramètre W de l’énergie noire, rapport de masse proton-électron, différence de masse des neutrinos).</w:t>
      </w:r>
    </w:p>
    <w:p>
      <w:pPr>
        <w:pStyle w:val="Compact"/>
        <w:numPr>
          <w:ilvl w:val="1"/>
          <w:numId w:val="1012"/>
        </w:numPr>
      </w:pPr>
      <w:r>
        <w:t xml:space="preserve">Speaker 1: Compare ce regroupement à classer un roman de SF et un manuel de quantique sous l’étiquette</w:t>
      </w:r>
      <w:r>
        <w:t xml:space="preserve"> </w:t>
      </w:r>
      <w:r>
        <w:t xml:space="preserve">“objet fait de mots”</w:t>
      </w:r>
      <w:r>
        <w:t xml:space="preserve"> </w:t>
      </w:r>
      <w:r>
        <w:t xml:space="preserve">: techniquement vrai mais inutile.</w:t>
      </w:r>
    </w:p>
    <w:p>
      <w:pPr>
        <w:numPr>
          <w:ilvl w:val="0"/>
          <w:numId w:val="1012"/>
        </w:numPr>
      </w:pPr>
      <w:r>
        <w:t xml:space="preserve">Speaker 1: Si l’on supprime la famille</w:t>
      </w:r>
      <w:r>
        <w:t xml:space="preserve"> </w:t>
      </w:r>
      <w:r>
        <w:t xml:space="preserve">“relation”</w:t>
      </w:r>
      <w:r>
        <w:t xml:space="preserve">, comment redistribuer les constantes qu’elle contient ?</w:t>
      </w:r>
    </w:p>
    <w:p>
      <w:pPr>
        <w:pStyle w:val="Compact"/>
        <w:numPr>
          <w:ilvl w:val="1"/>
          <w:numId w:val="1013"/>
        </w:numPr>
      </w:pPr>
      <w:r>
        <w:t xml:space="preserve">Speaker 1: Demande comment procéder à la redistribution en pratique.</w:t>
      </w:r>
    </w:p>
    <w:p>
      <w:pPr>
        <w:pStyle w:val="Compact"/>
        <w:numPr>
          <w:ilvl w:val="1"/>
          <w:numId w:val="1013"/>
        </w:numPr>
      </w:pPr>
      <w:r>
        <w:t xml:space="preserve">Speaker 3: Propose deux voies : soit élever des sous-types au rang de familles, soit les intégrer à des familles existantes selon leur dynamique réelle.</w:t>
      </w:r>
    </w:p>
    <w:p>
      <w:pPr>
        <w:pStyle w:val="Compact"/>
        <w:numPr>
          <w:ilvl w:val="1"/>
          <w:numId w:val="1013"/>
        </w:numPr>
      </w:pPr>
      <w:r>
        <w:t xml:space="preserve">Speaker 1: Demande où irait le rapport de masse proton-électron.</w:t>
      </w:r>
    </w:p>
    <w:p>
      <w:pPr>
        <w:pStyle w:val="Compact"/>
        <w:numPr>
          <w:ilvl w:val="1"/>
          <w:numId w:val="1013"/>
        </w:numPr>
      </w:pPr>
      <w:r>
        <w:t xml:space="preserve">Speaker 3: Répond qu’il devrait être classé sous</w:t>
      </w:r>
      <w:r>
        <w:t xml:space="preserve"> </w:t>
      </w:r>
      <w:r>
        <w:t xml:space="preserve">“hiérarchie d’échelle”</w:t>
      </w:r>
      <w:r>
        <w:t xml:space="preserve">, qui mériterait d’être une famille fondamentale à part entière car elle fige les strates de la matière.</w:t>
      </w:r>
    </w:p>
    <w:p>
      <w:pPr>
        <w:pStyle w:val="Compact"/>
        <w:numPr>
          <w:ilvl w:val="1"/>
          <w:numId w:val="1013"/>
        </w:numPr>
      </w:pPr>
      <w:r>
        <w:t xml:space="preserve">Speaker 1: Demande ensuite pour le secteur des neutrinos (delta m²).</w:t>
      </w:r>
    </w:p>
    <w:p>
      <w:pPr>
        <w:pStyle w:val="Compact"/>
        <w:numPr>
          <w:ilvl w:val="1"/>
          <w:numId w:val="1013"/>
        </w:numPr>
      </w:pPr>
      <w:r>
        <w:t xml:space="preserve">Speaker 3: Explique que le delta m² n’est pas une simple relation spectrale mais le moteur de l’oscillation des saveurs. Il devrait appartenir à une nouvelle famille axée sur la</w:t>
      </w:r>
      <w:r>
        <w:t xml:space="preserve"> </w:t>
      </w:r>
      <w:r>
        <w:t xml:space="preserve">“dynamique oscillatoire”</w:t>
      </w:r>
      <w:r>
        <w:t xml:space="preserve"> </w:t>
      </w:r>
      <w:r>
        <w:t xml:space="preserve">ou</w:t>
      </w:r>
      <w:r>
        <w:t xml:space="preserve"> </w:t>
      </w:r>
      <w:r>
        <w:t xml:space="preserve">“dynamique de phase”</w:t>
      </w:r>
      <w:r>
        <w:t xml:space="preserve">.</w:t>
      </w:r>
    </w:p>
    <w:p>
      <w:pPr>
        <w:pStyle w:val="Compact"/>
        <w:numPr>
          <w:ilvl w:val="1"/>
          <w:numId w:val="1013"/>
        </w:numPr>
      </w:pPr>
      <w:r>
        <w:t xml:space="preserve">Speaker 1: Demande enfin pour le paramètre W de l’énergie noire.</w:t>
      </w:r>
    </w:p>
    <w:p>
      <w:pPr>
        <w:pStyle w:val="Compact"/>
        <w:numPr>
          <w:ilvl w:val="1"/>
          <w:numId w:val="1013"/>
        </w:numPr>
      </w:pPr>
      <w:r>
        <w:t xml:space="preserve">Speaker 3: Affirme que W, qui détermine l’évolution de l’équation d’état de l’univers, devrait rejoindre une catégorie comme</w:t>
      </w:r>
      <w:r>
        <w:t xml:space="preserve"> </w:t>
      </w:r>
      <w:r>
        <w:t xml:space="preserve">“couplage de fond”</w:t>
      </w:r>
      <w:r>
        <w:t xml:space="preserve"> </w:t>
      </w:r>
      <w:r>
        <w:t xml:space="preserve">ou</w:t>
      </w:r>
      <w:r>
        <w:t xml:space="preserve"> </w:t>
      </w:r>
      <w:r>
        <w:t xml:space="preserve">“dynamique d’état macroscopique”</w:t>
      </w:r>
      <w:r>
        <w:t xml:space="preserve">.</w:t>
      </w:r>
    </w:p>
    <w:p>
      <w:pPr>
        <w:pStyle w:val="Compact"/>
        <w:numPr>
          <w:ilvl w:val="1"/>
          <w:numId w:val="1013"/>
        </w:numPr>
      </w:pPr>
      <w:r>
        <w:t xml:space="preserve">Speaker 1: Conclut que cette redistribution force les constantes à révéler leur identité structurelle, transformant la taxonomie d’un dictionnaire descriptif en une carte fonctionnelle.</w:t>
      </w:r>
    </w:p>
    <w:p>
      <w:pPr>
        <w:numPr>
          <w:ilvl w:val="0"/>
          <w:numId w:val="1013"/>
        </w:numPr>
      </w:pPr>
      <w:r>
        <w:t xml:space="preserve">Speaker 1: Pour conclure, quelles sont les recommandations finales ?</w:t>
      </w:r>
    </w:p>
    <w:p>
      <w:pPr>
        <w:pStyle w:val="Compact"/>
        <w:numPr>
          <w:ilvl w:val="1"/>
          <w:numId w:val="1014"/>
        </w:numPr>
      </w:pPr>
      <w:r>
        <w:t xml:space="preserve">Speaker 1: Renforce l’importance des trois recommandations pour que le document atteigne son plein potentiel. Il récapitule : 1. Unifier le transversal et l’architectural. 2. Scinder les architectures en grilles physique et épistémique. 3. Dissoudre la famille</w:t>
      </w:r>
      <w:r>
        <w:t xml:space="preserve"> </w:t>
      </w:r>
      <w:r>
        <w:t xml:space="preserve">“relation”</w:t>
      </w:r>
      <w:r>
        <w:t xml:space="preserve">.</w:t>
      </w:r>
    </w:p>
    <w:p>
      <w:pPr>
        <w:pStyle w:val="Compact"/>
        <w:numPr>
          <w:ilvl w:val="1"/>
          <w:numId w:val="1014"/>
        </w:numPr>
      </w:pPr>
      <w:r>
        <w:t xml:space="preserve">Speaker 3: Confirme que ces axes s’emboîtent logiquement pour alléger la méthode.</w:t>
      </w:r>
    </w:p>
    <w:p>
      <w:pPr>
        <w:pStyle w:val="Compact"/>
        <w:numPr>
          <w:ilvl w:val="1"/>
          <w:numId w:val="1014"/>
        </w:numPr>
      </w:pPr>
      <w:r>
        <w:t xml:space="preserve">Speaker 1: Termine en encourageant l’auteur à intégrer ces retours pour une future version 1.3 et clôt la session d’analyse.</w:t>
      </w:r>
    </w:p>
    <w:p>
      <w:pPr>
        <w:pStyle w:val="a8"/>
      </w:pPr>
      <w:r>
        <w:rPr>
          <w:b/>
          <w:bCs/>
        </w:rPr>
        <w:t xml:space="preserve">Suggestions de l’IA</w:t>
      </w:r>
      <w:r>
        <w:br/>
      </w:r>
      <w:r>
        <w:t xml:space="preserve">D’après la transcription de votre enregistrement, certaines questions de l’interview peuvent être optimisées. Voici quelques suggestions de l’IA pour votre référence :</w:t>
      </w:r>
      <w:r>
        <w:br/>
      </w:r>
      <w:r>
        <w:t xml:space="preserve">Les questions posées sont très efficaces pour structurer une analyse critique et guider la discussion point par point. Cependant, elles fonctionnent principalement comme des introductions de chapitres plutôt que comme des questions d’interview cherchant à susciter des réponses inattendues. Pour enrichir le format, des questions de suivi pourraient être intégrées pour approfondir les affirmations des intervenants. Par exemple, après que le Speaker 3 a suggéré de</w:t>
      </w:r>
      <w:r>
        <w:t xml:space="preserve"> </w:t>
      </w:r>
      <w:r>
        <w:t xml:space="preserve">“pulvériser”</w:t>
      </w:r>
      <w:r>
        <w:t xml:space="preserve"> </w:t>
      </w:r>
      <w:r>
        <w:t xml:space="preserve">la catégorie</w:t>
      </w:r>
      <w:r>
        <w:t xml:space="preserve"> </w:t>
      </w:r>
      <w:r>
        <w:t xml:space="preserve">“relation”</w:t>
      </w:r>
      <w:r>
        <w:t xml:space="preserve">, une question comme</w:t>
      </w:r>
      <w:r>
        <w:t xml:space="preserve"> </w:t>
      </w:r>
      <w:r>
        <w:t xml:space="preserve">“Quels seraient les risques ou les défis imprévus liés à l’élimination complète de cette catégorie ? Pourrait-elle laisser certaines constantes</w:t>
      </w:r>
      <w:r>
        <w:t xml:space="preserve"> </w:t>
      </w:r>
      <w:r>
        <w:t xml:space="preserve">‘orphelines’</w:t>
      </w:r>
      <w:r>
        <w:t xml:space="preserve"> </w:t>
      </w:r>
      <w:r>
        <w:t xml:space="preserve">si aucune nouvelle famille évidente ne leur convient ?”</w:t>
      </w:r>
      <w:r>
        <w:t xml:space="preserve"> </w:t>
      </w:r>
      <w:r>
        <w:t xml:space="preserve">aurait pu introduire une contre-argumentation et renforcer la robustesse de la proposition.</w:t>
      </w:r>
      <w:r>
        <w:br/>
      </w:r>
      <w:r>
        <w:t xml:space="preserve">De plus, la discussion reste à un niveau très conceptuel. Pour la rendre plus accessible ou pour tester la solidité des idées, il serait bénéfique de poser des questions qui obligent les intervenants à sortir de leur cadre théorique. Par exemple :</w:t>
      </w:r>
      <w:r>
        <w:t xml:space="preserve"> </w:t>
      </w:r>
      <w:r>
        <w:t xml:space="preserve">“Si vous deviez expliquer l’échec de la catégorie</w:t>
      </w:r>
      <w:r>
        <w:t xml:space="preserve"> </w:t>
      </w:r>
      <w:r>
        <w:t xml:space="preserve">‘relation’</w:t>
      </w:r>
      <w:r>
        <w:t xml:space="preserve"> </w:t>
      </w:r>
      <w:r>
        <w:t xml:space="preserve">à un étudiant en première année de physique qui n’a pas lu le manuscrit, quel exemple unique et simple utiliseriez-vous pour qu’il comprenne immédiatement le problème ?”</w:t>
      </w:r>
      <w:r>
        <w:t xml:space="preserve"> </w:t>
      </w:r>
      <w:r>
        <w:t xml:space="preserve">Ce type de question teste non seulement la clarté des idées des experts, mais produit également un contenu plus pédagogique pour l’auditoire.</w:t>
      </w:r>
    </w:p>
    <w:bookmarkEnd w:id="24"/>
    <w:bookmarkEnd w:id="25"/>
    <w:sectPr w:rsidR="00275E2C">
      <w:pgSz w:h="16838" w:w="11906"/>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Times New Roman (正文 CS 字体)">
    <w:altName w:val="宋体"/>
    <w:panose1 w:val="020B0604020202020204"/>
    <w:charset w:val="86"/>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F"/>
    <w:multiLevelType w:val="singleLevel"/>
    <w:tmpl w:val="FFFFFF7F"/>
    <w:lvl w:ilvl="0">
      <w:start w:val="1"/>
      <w:numFmt w:val="decimal"/>
      <w:pStyle w:val="2"/>
      <w:lvlText w:val="%1."/>
      <w:lvlJc w:val="left"/>
      <w:pPr>
        <w:tabs>
          <w:tab w:pos="780" w:val="left"/>
        </w:tabs>
        <w:ind w:hanging="360" w:hangingChars="200" w:left="780" w:leftChars="200"/>
      </w:pPr>
    </w:lvl>
  </w:abstractNum>
  <w:abstractNum w15:restartNumberingAfterBreak="0" w:abstractNumId="1">
    <w:nsid w:val="FFFFFF83"/>
    <w:multiLevelType w:val="singleLevel"/>
    <w:tmpl w:val="FFFFFF83"/>
    <w:lvl w:ilvl="0">
      <w:start w:val="1"/>
      <w:numFmt w:val="bullet"/>
      <w:pStyle w:val="20"/>
      <w:lvlText w:val=""/>
      <w:lvlJc w:val="left"/>
      <w:pPr>
        <w:tabs>
          <w:tab w:pos="780" w:val="left"/>
        </w:tabs>
        <w:ind w:hanging="360" w:hangingChars="200" w:left="780" w:leftChars="200"/>
      </w:pPr>
      <w:rPr>
        <w:rFonts w:ascii="Wingdings" w:hAnsi="Wingdings" w:hint="default"/>
      </w:rPr>
    </w:lvl>
  </w:abstractNum>
  <w:abstractNum w15:restartNumberingAfterBreak="0" w:abstractNumId="2">
    <w:nsid w:val="FFFFFF88"/>
    <w:multiLevelType w:val="singleLevel"/>
    <w:tmpl w:val="FFFFFF88"/>
    <w:lvl w:ilvl="0">
      <w:start w:val="1"/>
      <w:numFmt w:val="decimal"/>
      <w:pStyle w:val="a"/>
      <w:lvlText w:val="%1."/>
      <w:lvlJc w:val="left"/>
      <w:pPr>
        <w:tabs>
          <w:tab w:pos="360" w:val="left"/>
        </w:tabs>
        <w:ind w:hanging="360" w:hangingChars="200" w:left="360"/>
      </w:pPr>
    </w:lvl>
  </w:abstractNum>
  <w:abstractNum w15:restartNumberingAfterBreak="0" w:abstractNumId="3">
    <w:nsid w:val="FFFFFF89"/>
    <w:multiLevelType w:val="singleLevel"/>
    <w:tmpl w:val="FFFFFF89"/>
    <w:lvl w:ilvl="0">
      <w:start w:val="1"/>
      <w:numFmt w:val="bullet"/>
      <w:pStyle w:val="a0"/>
      <w:lvlText w:val=""/>
      <w:lvlJc w:val="left"/>
      <w:pPr>
        <w:tabs>
          <w:tab w:pos="360" w:val="left"/>
        </w:tabs>
        <w:ind w:hanging="360" w:hangingChars="200" w:left="36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925454790" w:numId="1">
    <w:abstractNumId w:val="0"/>
  </w:num>
  <w:num w16cid:durableId="1848398556" w:numId="2">
    <w:abstractNumId w:val="2"/>
  </w:num>
  <w:num w16cid:durableId="1840075167" w:numId="3">
    <w:abstractNumId w:val="3"/>
  </w:num>
  <w:num w16cid:durableId="1470247572" w:numId="4">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BF11CC"/>
    <w:rsid w:val="F57A143E"/>
    <w:rsid w:val="FF53E7DD"/>
    <w:rsid w:val="00012906"/>
    <w:rsid w:val="000C1ABD"/>
    <w:rsid w:val="000D1E8A"/>
    <w:rsid w:val="000F3D3C"/>
    <w:rsid w:val="0011788E"/>
    <w:rsid w:val="00167011"/>
    <w:rsid w:val="001824E5"/>
    <w:rsid w:val="001A30C6"/>
    <w:rsid w:val="001B0185"/>
    <w:rsid w:val="001B2E68"/>
    <w:rsid w:val="00271600"/>
    <w:rsid w:val="00275E2C"/>
    <w:rsid w:val="00284976"/>
    <w:rsid w:val="00290063"/>
    <w:rsid w:val="002D5AAF"/>
    <w:rsid w:val="00315AC2"/>
    <w:rsid w:val="00337933"/>
    <w:rsid w:val="00353684"/>
    <w:rsid w:val="00365A06"/>
    <w:rsid w:val="00386B56"/>
    <w:rsid w:val="003E512C"/>
    <w:rsid w:val="003F6589"/>
    <w:rsid w:val="00402858"/>
    <w:rsid w:val="00455D51"/>
    <w:rsid w:val="004804EF"/>
    <w:rsid w:val="004B1E78"/>
    <w:rsid w:val="004D308B"/>
    <w:rsid w:val="00512CA9"/>
    <w:rsid w:val="005140DE"/>
    <w:rsid w:val="00515E7E"/>
    <w:rsid w:val="005641A8"/>
    <w:rsid w:val="005646E9"/>
    <w:rsid w:val="0057446D"/>
    <w:rsid w:val="00584C65"/>
    <w:rsid w:val="005C33F3"/>
    <w:rsid w:val="00605308"/>
    <w:rsid w:val="006203D4"/>
    <w:rsid w:val="006B04C2"/>
    <w:rsid w:val="007453A1"/>
    <w:rsid w:val="007535F6"/>
    <w:rsid w:val="00786E81"/>
    <w:rsid w:val="007938B8"/>
    <w:rsid w:val="008033E1"/>
    <w:rsid w:val="0085162E"/>
    <w:rsid w:val="00865C7C"/>
    <w:rsid w:val="00900CCC"/>
    <w:rsid w:val="00932E5F"/>
    <w:rsid w:val="00962302"/>
    <w:rsid w:val="00993CBA"/>
    <w:rsid w:val="009A3D3D"/>
    <w:rsid w:val="009E145E"/>
    <w:rsid w:val="00A21265"/>
    <w:rsid w:val="00A625F9"/>
    <w:rsid w:val="00A7127D"/>
    <w:rsid w:val="00A81885"/>
    <w:rsid w:val="00A82518"/>
    <w:rsid w:val="00A8796D"/>
    <w:rsid w:val="00AB1A36"/>
    <w:rsid w:val="00AC75E8"/>
    <w:rsid w:val="00AD4E46"/>
    <w:rsid w:val="00B221B6"/>
    <w:rsid w:val="00B34BC6"/>
    <w:rsid w:val="00B5019A"/>
    <w:rsid w:val="00BF11CC"/>
    <w:rsid w:val="00C1108E"/>
    <w:rsid w:val="00C14B89"/>
    <w:rsid w:val="00C865AB"/>
    <w:rsid w:val="00C9144D"/>
    <w:rsid w:val="00C94844"/>
    <w:rsid w:val="00DB673F"/>
    <w:rsid w:val="00E04222"/>
    <w:rsid w:val="00E07649"/>
    <w:rsid w:val="00E64F6C"/>
    <w:rsid w:val="00EC331D"/>
    <w:rsid w:val="00F15494"/>
    <w:rsid w:val="00F75CC4"/>
    <w:rsid w:val="00FC1DF5"/>
    <w:rsid w:val="00FC30D7"/>
    <w:rsid w:val="00FD44F7"/>
    <w:rsid w:val="00FE2A30"/>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footnote text" w:qFormat="1" w:uiPriority="9" w:unhideWhenUsed="1"/>
    <w:lsdException w:name="Title" w:qFormat="1" w:uiPriority="10"/>
    <w:lsdException w:name="Default Paragraph Font" w:semiHidden="1" w:uiPriority="1" w:unhideWhenUsed="1"/>
    <w:lsdException w:name="Body Text" w:qFormat="1"/>
    <w:lsdException w:name="Subtitle" w:qFormat="1" w:uiPriority="11"/>
    <w:lsdException w:name="Date" w:qFormat="1"/>
    <w:lsdException w:name="Block Text" w:qFormat="1" w:uiPriority="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pPr>
      <w:spacing w:after="200"/>
    </w:pPr>
    <w:rPr>
      <w:sz w:val="24"/>
      <w:szCs w:val="24"/>
      <w:lang w:eastAsia="en-US"/>
    </w:rPr>
  </w:style>
  <w:style w:styleId="1" w:type="paragraph">
    <w:name w:val="heading 1"/>
    <w:basedOn w:val="a1"/>
    <w:next w:val="a2"/>
    <w:link w:val="10"/>
    <w:uiPriority w:val="9"/>
    <w:qFormat/>
    <w:rsid w:val="00FC1DF5"/>
    <w:pPr>
      <w:spacing w:after="80" w:before="480"/>
      <w:outlineLvl w:val="0"/>
    </w:pPr>
    <w:rPr>
      <w:rFonts w:ascii="Arial" w:cs="Arial" w:eastAsia="Arial" w:hAnsi="Arial"/>
      <w:b/>
      <w:bCs/>
      <w:color w:themeColor="text1" w:val="000000"/>
      <w:sz w:val="44"/>
      <w:szCs w:val="40"/>
    </w:rPr>
  </w:style>
  <w:style w:styleId="21" w:type="paragraph">
    <w:name w:val="heading 2"/>
    <w:basedOn w:val="a1"/>
    <w:next w:val="a2"/>
    <w:link w:val="22"/>
    <w:uiPriority w:val="9"/>
    <w:semiHidden/>
    <w:unhideWhenUsed/>
    <w:qFormat/>
    <w:rsid w:val="00605308"/>
    <w:pPr>
      <w:spacing w:after="80" w:before="320" w:line="360" w:lineRule="auto"/>
      <w:outlineLvl w:val="1"/>
    </w:pPr>
    <w:rPr>
      <w:rFonts w:ascii="Arial" w:cs="Arial" w:eastAsia="Arial" w:hAnsi="Arial"/>
      <w:b/>
      <w:bCs/>
      <w:color w:themeColor="text1" w:val="000000"/>
      <w:sz w:val="32"/>
      <w:szCs w:val="32"/>
    </w:rPr>
  </w:style>
  <w:style w:styleId="3" w:type="paragraph">
    <w:name w:val="heading 3"/>
    <w:basedOn w:val="a1"/>
    <w:next w:val="a2"/>
    <w:link w:val="30"/>
    <w:uiPriority w:val="9"/>
    <w:semiHidden/>
    <w:unhideWhenUsed/>
    <w:qFormat/>
    <w:rsid w:val="00584C65"/>
    <w:pPr>
      <w:spacing w:after="40" w:before="100" w:line="360" w:lineRule="auto"/>
      <w:outlineLvl w:val="2"/>
    </w:pPr>
    <w:rPr>
      <w:rFonts w:ascii="Arial" w:cs="Arial" w:eastAsia="Arial" w:hAnsi="Arial"/>
      <w:b/>
      <w:bCs/>
      <w:color w:themeColor="text1" w:val="000000"/>
      <w:sz w:val="28"/>
      <w:szCs w:val="28"/>
    </w:rPr>
  </w:style>
  <w:style w:styleId="4" w:type="paragraph">
    <w:name w:val="heading 4"/>
    <w:basedOn w:val="a1"/>
    <w:next w:val="a2"/>
    <w:link w:val="40"/>
    <w:uiPriority w:val="9"/>
    <w:semiHidden/>
    <w:unhideWhenUsed/>
    <w:qFormat/>
    <w:pPr>
      <w:spacing w:after="40" w:before="80"/>
      <w:outlineLvl w:val="3"/>
    </w:pPr>
    <w:rPr>
      <w:rFonts w:ascii="Arial" w:cs="Arial" w:eastAsia="Arial" w:hAnsi="Arial"/>
      <w:b/>
      <w:color w:themeColor="text1" w:val="000000"/>
    </w:rPr>
  </w:style>
  <w:style w:styleId="5" w:type="paragraph">
    <w:name w:val="heading 5"/>
    <w:basedOn w:val="a1"/>
    <w:next w:val="a2"/>
    <w:link w:val="50"/>
    <w:uiPriority w:val="9"/>
    <w:semiHidden/>
    <w:unhideWhenUsed/>
    <w:qFormat/>
    <w:rsid w:val="00962302"/>
    <w:pPr>
      <w:spacing w:after="40" w:before="80"/>
      <w:outlineLvl w:val="4"/>
    </w:pPr>
    <w:rPr>
      <w:rFonts w:ascii="微软雅黑" w:cs="微软雅黑" w:eastAsia="Arial" w:hAnsi="微软雅黑"/>
      <w:color w:themeColor="text1" w:val="000000"/>
    </w:rPr>
  </w:style>
  <w:style w:styleId="6" w:type="paragraph">
    <w:name w:val="heading 6"/>
    <w:basedOn w:val="a1"/>
    <w:next w:val="a2"/>
    <w:link w:val="60"/>
    <w:uiPriority w:val="9"/>
    <w:semiHidden/>
    <w:unhideWhenUsed/>
    <w:qFormat/>
    <w:rsid w:val="00962302"/>
    <w:pPr>
      <w:spacing w:after="0" w:before="40"/>
      <w:outlineLvl w:val="5"/>
    </w:pPr>
    <w:rPr>
      <w:rFonts w:ascii="微软雅黑" w:cs="微软雅黑" w:eastAsia="Arial" w:hAnsi="微软雅黑"/>
      <w:color w:themeColor="text1" w:val="000000"/>
    </w:rPr>
  </w:style>
  <w:style w:styleId="7" w:type="paragraph">
    <w:name w:val="heading 7"/>
    <w:basedOn w:val="a1"/>
    <w:next w:val="a2"/>
    <w:link w:val="70"/>
    <w:uiPriority w:val="9"/>
    <w:semiHidden/>
    <w:unhideWhenUsed/>
    <w:qFormat/>
    <w:rsid w:val="00962302"/>
    <w:pPr>
      <w:spacing w:after="0" w:before="40"/>
      <w:outlineLvl w:val="6"/>
    </w:pPr>
    <w:rPr>
      <w:rFonts w:ascii="微软雅黑" w:cs="微软雅黑" w:eastAsia="Arial" w:hAnsi="微软雅黑"/>
      <w:color w:themeColor="text1" w:val="000000"/>
    </w:rPr>
  </w:style>
  <w:style w:styleId="8" w:type="paragraph">
    <w:name w:val="heading 8"/>
    <w:basedOn w:val="a1"/>
    <w:next w:val="a2"/>
    <w:link w:val="80"/>
    <w:uiPriority w:val="9"/>
    <w:semiHidden/>
    <w:unhideWhenUsed/>
    <w:qFormat/>
    <w:rsid w:val="00962302"/>
    <w:pPr>
      <w:spacing w:after="0"/>
      <w:outlineLvl w:val="7"/>
    </w:pPr>
    <w:rPr>
      <w:rFonts w:cstheme="majorBidi" w:eastAsia="Arial"/>
      <w:iCs/>
      <w:color w:themeColor="text1" w:val="000000"/>
    </w:rPr>
  </w:style>
  <w:style w:styleId="9" w:type="paragraph">
    <w:name w:val="heading 9"/>
    <w:basedOn w:val="a1"/>
    <w:next w:val="a2"/>
    <w:link w:val="90"/>
    <w:uiPriority w:val="9"/>
    <w:semiHidden/>
    <w:unhideWhenUsed/>
    <w:qFormat/>
    <w:pPr>
      <w:spacing w:after="0"/>
      <w:outlineLvl w:val="8"/>
    </w:pPr>
    <w:rPr>
      <w:rFonts w:cstheme="majorBidi" w:eastAsia="Arial"/>
      <w:color w:themeColor="text1" w:themeTint="D8" w:val="272727"/>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qFormat/>
    <w:rsid w:val="00962302"/>
    <w:pPr>
      <w:spacing w:after="180" w:before="100"/>
    </w:pPr>
    <w:rPr>
      <w:rFonts w:ascii="Arial" w:cs="Arial" w:eastAsia="Arial" w:hAnsi="Arial"/>
      <w:color w:themeColor="text1" w:val="000000"/>
    </w:rPr>
  </w:style>
  <w:style w:styleId="2" w:type="paragraph">
    <w:name w:val="List Number 2"/>
    <w:basedOn w:val="a1"/>
    <w:pPr>
      <w:numPr>
        <w:numId w:val="1"/>
      </w:numPr>
      <w:contextualSpacing/>
    </w:pPr>
    <w:rPr>
      <w:rFonts w:ascii="Arial" w:cs="Arial" w:eastAsia="Arial" w:hAnsi="Arial"/>
    </w:rPr>
  </w:style>
  <w:style w:styleId="a" w:type="paragraph">
    <w:name w:val="List Number"/>
    <w:basedOn w:val="a1"/>
    <w:pPr>
      <w:numPr>
        <w:numId w:val="2"/>
      </w:numPr>
      <w:spacing w:line="360" w:lineRule="auto"/>
      <w:contextualSpacing/>
    </w:pPr>
    <w:rPr>
      <w:rFonts w:ascii="Arial" w:cs="Arial" w:eastAsia="Arial" w:hAnsi="Arial"/>
      <w:b/>
      <w:bCs/>
    </w:rPr>
  </w:style>
  <w:style w:styleId="a6" w:type="paragraph">
    <w:name w:val="caption"/>
    <w:basedOn w:val="a1"/>
    <w:link w:val="a7"/>
    <w:pPr>
      <w:spacing w:after="120"/>
    </w:pPr>
    <w:rPr>
      <w:i/>
    </w:rPr>
  </w:style>
  <w:style w:styleId="a0" w:type="paragraph">
    <w:name w:val="List Bullet"/>
    <w:basedOn w:val="a1"/>
    <w:rsid w:val="00A82518"/>
    <w:pPr>
      <w:numPr>
        <w:numId w:val="3"/>
      </w:numPr>
      <w:spacing w:before="200" w:line="360" w:lineRule="auto"/>
      <w:ind w:hanging="200" w:left="200"/>
      <w:contextualSpacing/>
    </w:pPr>
    <w:rPr>
      <w:rFonts w:ascii="Arial" w:cs="Arial" w:eastAsia="Arial" w:hAnsi="Arial"/>
      <w:b/>
      <w:bCs/>
    </w:rPr>
  </w:style>
  <w:style w:styleId="a8" w:type="paragraph">
    <w:name w:val="Block Text"/>
    <w:basedOn w:val="a2"/>
    <w:next w:val="a2"/>
    <w:uiPriority w:val="9"/>
    <w:unhideWhenUsed/>
    <w:qFormat/>
    <w:rsid w:val="00C94844"/>
    <w:pPr>
      <w:pBdr>
        <w:left w:color="D1D1D1" w:space="4" w:sz="24" w:themeColor="background2" w:themeShade="E6" w:val="single"/>
      </w:pBdr>
      <w:spacing w:after="100"/>
      <w:ind w:left="397" w:right="482"/>
    </w:pPr>
    <w:rPr>
      <w:color w:themeColor="background2" w:themeShade="80" w:val="747474"/>
    </w:rPr>
  </w:style>
  <w:style w:styleId="20" w:type="paragraph">
    <w:name w:val="List Bullet 2"/>
    <w:basedOn w:val="a1"/>
    <w:rsid w:val="00A82518"/>
    <w:pPr>
      <w:numPr>
        <w:numId w:val="4"/>
      </w:numPr>
      <w:spacing w:before="120" w:line="360" w:lineRule="auto"/>
      <w:ind w:hanging="200" w:left="400"/>
      <w:contextualSpacing/>
    </w:pPr>
    <w:rPr>
      <w:rFonts w:ascii="Arial" w:cs="Arial" w:eastAsia="Arial" w:hAnsi="Arial"/>
    </w:rPr>
  </w:style>
  <w:style w:styleId="a9" w:type="paragraph">
    <w:name w:val="Date"/>
    <w:next w:val="a2"/>
    <w:qFormat/>
    <w:pPr>
      <w:spacing w:after="200"/>
      <w:jc w:val="center"/>
    </w:pPr>
    <w:rPr>
      <w:rFonts w:eastAsia="Arial"/>
      <w:sz w:val="24"/>
      <w:szCs w:val="24"/>
      <w:lang w:eastAsia="en-US"/>
    </w:rPr>
  </w:style>
  <w:style w:styleId="aa" w:type="paragraph">
    <w:name w:val="Subtitle"/>
    <w:basedOn w:val="ab"/>
    <w:next w:val="a2"/>
    <w:link w:val="ac"/>
    <w:uiPriority w:val="11"/>
    <w:qFormat/>
    <w:rPr>
      <w:spacing w:val="15"/>
      <w:sz w:val="28"/>
      <w:szCs w:val="28"/>
    </w:rPr>
  </w:style>
  <w:style w:styleId="ab" w:type="paragraph">
    <w:name w:val="Title"/>
    <w:basedOn w:val="a1"/>
    <w:next w:val="a2"/>
    <w:link w:val="ad"/>
    <w:uiPriority w:val="10"/>
    <w:qFormat/>
    <w:pPr>
      <w:spacing w:after="80"/>
      <w:contextualSpacing/>
      <w:jc w:val="center"/>
    </w:pPr>
    <w:rPr>
      <w:rFonts w:ascii="Arial" w:cs="Arial" w:eastAsia="Arial" w:hAnsi="Arial"/>
      <w:spacing w:val="-10"/>
      <w:kern w:val="28"/>
      <w:sz w:val="56"/>
      <w:szCs w:val="56"/>
    </w:rPr>
  </w:style>
  <w:style w:styleId="ae" w:type="paragraph">
    <w:name w:val="footnote text"/>
    <w:basedOn w:val="a1"/>
    <w:uiPriority w:val="9"/>
    <w:unhideWhenUsed/>
    <w:qFormat/>
  </w:style>
  <w:style w:styleId="af" w:type="character">
    <w:name w:val="Hyperlink"/>
    <w:basedOn w:val="a3"/>
    <w:rsid w:val="00962302"/>
    <w:rPr>
      <w:b w:val="0"/>
      <w:i w:val="0"/>
      <w:color w:themeColor="text1" w:val="000000"/>
      <w:u w:val="none"/>
      <w:bdr w:color="auto" w:space="0" w:sz="0" w:val="none"/>
      <w:em w:val="none"/>
    </w:rPr>
  </w:style>
  <w:style w:customStyle="1" w:styleId="a7" w:type="character">
    <w:name w:val="题注 字符"/>
    <w:basedOn w:val="a3"/>
    <w:link w:val="a6"/>
  </w:style>
  <w:style w:styleId="af0" w:type="character">
    <w:name w:val="footnote reference"/>
    <w:basedOn w:val="a7"/>
    <w:rPr>
      <w:vertAlign w:val="superscript"/>
    </w:rPr>
  </w:style>
  <w:style w:customStyle="1" w:styleId="FirstParagraph" w:type="paragraph">
    <w:name w:val="First Paragraph"/>
    <w:basedOn w:val="a2"/>
    <w:next w:val="a2"/>
    <w:qFormat/>
    <w:rsid w:val="00962302"/>
    <w:pPr>
      <w:spacing w:before="240"/>
    </w:pPr>
  </w:style>
  <w:style w:customStyle="1" w:styleId="Compact" w:type="paragraph">
    <w:name w:val="Compact"/>
    <w:basedOn w:val="a2"/>
    <w:qFormat/>
    <w:pPr>
      <w:spacing w:after="36" w:before="36"/>
    </w:pPr>
  </w:style>
  <w:style w:customStyle="1" w:styleId="ad" w:type="character">
    <w:name w:val="标题 字符"/>
    <w:basedOn w:val="a3"/>
    <w:link w:val="ab"/>
    <w:uiPriority w:val="10"/>
    <w:rPr>
      <w:rFonts w:ascii="Arial" w:cs="Arial" w:eastAsia="Arial" w:hAnsi="Arial"/>
      <w:spacing w:val="-10"/>
      <w:kern w:val="28"/>
      <w:sz w:val="56"/>
      <w:szCs w:val="56"/>
    </w:rPr>
  </w:style>
  <w:style w:customStyle="1" w:styleId="ac" w:type="character">
    <w:name w:val="副标题 字符"/>
    <w:basedOn w:val="a3"/>
    <w:link w:val="aa"/>
    <w:uiPriority w:val="11"/>
    <w:rPr>
      <w:rFonts w:cstheme="majorBidi" w:eastAsiaTheme="majorEastAsia"/>
      <w:color w:themeColor="text1" w:themeTint="A6" w:val="595959"/>
      <w:spacing w:val="15"/>
      <w:sz w:val="28"/>
      <w:szCs w:val="28"/>
    </w:rPr>
  </w:style>
  <w:style w:customStyle="1" w:styleId="Author" w:type="paragraph">
    <w:name w:val="Author"/>
    <w:next w:val="a2"/>
    <w:qFormat/>
    <w:pPr>
      <w:spacing w:after="200"/>
      <w:jc w:val="center"/>
    </w:pPr>
    <w:rPr>
      <w:sz w:val="24"/>
      <w:szCs w:val="24"/>
      <w:lang w:eastAsia="en-US"/>
    </w:rPr>
  </w:style>
  <w:style w:customStyle="1" w:styleId="AbstractTitle" w:type="paragraph">
    <w:name w:val="Abstract Title"/>
    <w:basedOn w:val="a1"/>
    <w:next w:val="Abstract"/>
    <w:qFormat/>
    <w:pPr>
      <w:keepNext/>
      <w:keepLines/>
      <w:spacing w:after="0" w:before="300"/>
      <w:jc w:val="center"/>
    </w:pPr>
    <w:rPr>
      <w:b/>
      <w:sz w:val="20"/>
      <w:szCs w:val="20"/>
    </w:rPr>
  </w:style>
  <w:style w:customStyle="1" w:styleId="Abstract" w:type="paragraph">
    <w:name w:val="Abstract"/>
    <w:basedOn w:val="a1"/>
    <w:next w:val="a2"/>
    <w:qFormat/>
    <w:pPr>
      <w:spacing w:after="300" w:before="100"/>
    </w:pPr>
    <w:rPr>
      <w:rFonts w:eastAsia="Arial"/>
      <w:sz w:val="20"/>
      <w:szCs w:val="20"/>
    </w:rPr>
  </w:style>
  <w:style w:customStyle="1" w:styleId="11" w:type="paragraph">
    <w:name w:val="书目1"/>
    <w:basedOn w:val="a1"/>
    <w:qFormat/>
  </w:style>
  <w:style w:customStyle="1" w:styleId="10" w:type="character">
    <w:name w:val="标题 1 字符"/>
    <w:basedOn w:val="a3"/>
    <w:link w:val="1"/>
    <w:uiPriority w:val="9"/>
    <w:rsid w:val="00FC1DF5"/>
    <w:rPr>
      <w:rFonts w:ascii="Arial" w:cs="Arial" w:eastAsia="Arial" w:hAnsi="Arial"/>
      <w:b/>
      <w:bCs/>
      <w:color w:themeColor="text1" w:val="000000"/>
      <w:sz w:val="44"/>
      <w:szCs w:val="40"/>
      <w:lang w:eastAsia="en-US"/>
    </w:rPr>
  </w:style>
  <w:style w:customStyle="1" w:styleId="22" w:type="character">
    <w:name w:val="标题 2 字符"/>
    <w:basedOn w:val="a3"/>
    <w:link w:val="21"/>
    <w:uiPriority w:val="9"/>
    <w:semiHidden/>
    <w:rsid w:val="00605308"/>
    <w:rPr>
      <w:rFonts w:ascii="Arial" w:cs="Arial" w:eastAsia="Arial" w:hAnsi="Arial"/>
      <w:b/>
      <w:bCs/>
      <w:color w:themeColor="text1" w:val="000000"/>
      <w:sz w:val="32"/>
      <w:szCs w:val="32"/>
      <w:lang w:eastAsia="en-US"/>
    </w:rPr>
  </w:style>
  <w:style w:customStyle="1" w:styleId="30" w:type="character">
    <w:name w:val="标题 3 字符"/>
    <w:basedOn w:val="a3"/>
    <w:link w:val="3"/>
    <w:uiPriority w:val="9"/>
    <w:semiHidden/>
    <w:rsid w:val="00584C65"/>
    <w:rPr>
      <w:rFonts w:ascii="Arial" w:cs="Arial" w:eastAsia="Arial" w:hAnsi="Arial"/>
      <w:b/>
      <w:bCs/>
      <w:color w:themeColor="text1" w:val="000000"/>
      <w:sz w:val="28"/>
      <w:szCs w:val="28"/>
      <w:lang w:eastAsia="en-US"/>
    </w:rPr>
  </w:style>
  <w:style w:customStyle="1" w:styleId="40" w:type="character">
    <w:name w:val="标题 4 字符"/>
    <w:basedOn w:val="a3"/>
    <w:link w:val="4"/>
    <w:uiPriority w:val="9"/>
    <w:semiHidden/>
    <w:rPr>
      <w:rFonts w:ascii="Arial" w:cs="Arial" w:eastAsia="Arial" w:hAnsi="Arial"/>
      <w:b/>
      <w:color w:themeColor="text1" w:val="000000"/>
      <w:sz w:val="24"/>
      <w:szCs w:val="24"/>
      <w:lang w:eastAsia="en-US"/>
    </w:rPr>
  </w:style>
  <w:style w:customStyle="1" w:styleId="50" w:type="character">
    <w:name w:val="标题 5 字符"/>
    <w:basedOn w:val="a3"/>
    <w:link w:val="5"/>
    <w:uiPriority w:val="9"/>
    <w:semiHidden/>
    <w:rsid w:val="00962302"/>
    <w:rPr>
      <w:rFonts w:ascii="微软雅黑" w:cs="微软雅黑" w:eastAsia="Arial" w:hAnsi="微软雅黑"/>
      <w:color w:themeColor="text1" w:val="000000"/>
      <w:sz w:val="24"/>
      <w:szCs w:val="24"/>
      <w:lang w:eastAsia="en-US"/>
    </w:rPr>
  </w:style>
  <w:style w:customStyle="1" w:styleId="60" w:type="character">
    <w:name w:val="标题 6 字符"/>
    <w:basedOn w:val="a3"/>
    <w:link w:val="6"/>
    <w:uiPriority w:val="9"/>
    <w:semiHidden/>
    <w:rsid w:val="00962302"/>
    <w:rPr>
      <w:rFonts w:ascii="微软雅黑" w:cs="微软雅黑" w:eastAsia="Arial" w:hAnsi="微软雅黑"/>
      <w:color w:themeColor="text1" w:val="000000"/>
      <w:sz w:val="24"/>
      <w:szCs w:val="24"/>
      <w:lang w:eastAsia="en-US"/>
    </w:rPr>
  </w:style>
  <w:style w:customStyle="1" w:styleId="70" w:type="character">
    <w:name w:val="标题 7 字符"/>
    <w:basedOn w:val="a3"/>
    <w:link w:val="7"/>
    <w:uiPriority w:val="9"/>
    <w:semiHidden/>
    <w:rsid w:val="00962302"/>
    <w:rPr>
      <w:rFonts w:ascii="微软雅黑" w:cs="微软雅黑" w:eastAsia="Arial" w:hAnsi="微软雅黑"/>
      <w:color w:themeColor="text1" w:val="000000"/>
      <w:sz w:val="24"/>
      <w:szCs w:val="24"/>
      <w:lang w:eastAsia="en-US"/>
    </w:rPr>
  </w:style>
  <w:style w:customStyle="1" w:styleId="80" w:type="character">
    <w:name w:val="标题 8 字符"/>
    <w:basedOn w:val="a3"/>
    <w:link w:val="8"/>
    <w:uiPriority w:val="9"/>
    <w:semiHidden/>
    <w:rsid w:val="00962302"/>
    <w:rPr>
      <w:rFonts w:cstheme="majorBidi" w:eastAsia="Arial"/>
      <w:iCs/>
      <w:color w:themeColor="text1" w:val="000000"/>
      <w:sz w:val="24"/>
      <w:szCs w:val="24"/>
      <w:lang w:eastAsia="en-US"/>
    </w:rPr>
  </w:style>
  <w:style w:customStyle="1" w:styleId="90" w:type="character">
    <w:name w:val="标题 9 字符"/>
    <w:basedOn w:val="a3"/>
    <w:link w:val="9"/>
    <w:uiPriority w:val="9"/>
    <w:semiHidden/>
    <w:rPr>
      <w:rFonts w:cstheme="majorBidi" w:eastAsia="Arial"/>
      <w:color w:themeColor="text1" w:themeTint="D8" w:val="272727"/>
      <w:sz w:val="24"/>
      <w:szCs w:val="24"/>
      <w:lang w:eastAsia="en-US"/>
    </w:rPr>
  </w:style>
  <w:style w:customStyle="1" w:styleId="FootnoteBlockText" w:type="paragraph">
    <w:name w:val="Footnote Block Text"/>
    <w:basedOn w:val="ae"/>
    <w:next w:val="ae"/>
    <w:uiPriority w:val="9"/>
    <w:unhideWhenUsed/>
    <w:qFormat/>
    <w:pPr>
      <w:spacing w:after="100" w:before="100"/>
      <w:ind w:left="480" w:right="480"/>
    </w:pPr>
  </w:style>
  <w:style w:customStyle="1" w:styleId="Table" w:type="table">
    <w:name w:val="Table"/>
    <w:semiHidden/>
    <w:unhideWhenUsed/>
    <w:qFormat/>
    <w:tblPr>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1"/>
    <w:next w:val="Definition"/>
    <w:pPr>
      <w:spacing w:after="0"/>
    </w:pPr>
    <w:rPr>
      <w:rFonts w:eastAsia="Arial"/>
    </w:rPr>
  </w:style>
  <w:style w:customStyle="1" w:styleId="Definition" w:type="paragraph">
    <w:name w:val="Definition"/>
    <w:basedOn w:val="a1"/>
    <w:rsid w:val="00962302"/>
    <w:rPr>
      <w:color w:themeColor="text1" w:val="000000"/>
    </w:rPr>
  </w:style>
  <w:style w:customStyle="1" w:styleId="TableCaption" w:type="paragraph">
    <w:name w:val="Table Caption"/>
    <w:basedOn w:val="a6"/>
  </w:style>
  <w:style w:customStyle="1" w:styleId="ImageCaption" w:type="paragraph">
    <w:name w:val="Image Caption"/>
    <w:basedOn w:val="a6"/>
  </w:style>
  <w:style w:customStyle="1" w:styleId="Figure" w:type="paragraph">
    <w:name w:val="Figure"/>
    <w:basedOn w:val="a1"/>
  </w:style>
  <w:style w:customStyle="1" w:styleId="CaptionedFigure" w:type="paragraph">
    <w:name w:val="Captioned Figure"/>
    <w:basedOn w:val="Figure"/>
    <w:pPr>
      <w:keepNext/>
    </w:pPr>
  </w:style>
  <w:style w:customStyle="1" w:styleId="VerbatimChar" w:type="character">
    <w:name w:val="Verbatim Char"/>
    <w:basedOn w:val="a7"/>
    <w:link w:val="SourceCode"/>
    <w:rsid w:val="00FE2A30"/>
    <w:rPr>
      <w:rFonts w:ascii="Consolas" w:cs="Times New Roman (正文 CS 字体)" w:eastAsia="Arial" w:hAnsi="Consolas"/>
      <w:sz w:val="22"/>
      <w:shd w:color="auto" w:fill="F2F2F2" w:themeFill="background1" w:themeFillShade="F2" w:val="clear"/>
    </w:rPr>
  </w:style>
  <w:style w:customStyle="1" w:styleId="SectionNumber" w:type="character">
    <w:name w:val="Section Number"/>
    <w:basedOn w:val="a7"/>
  </w:style>
  <w:style w:customStyle="1" w:styleId="TOC1" w:type="paragraph">
    <w:name w:val="TOC 标题1"/>
    <w:basedOn w:val="1"/>
    <w:next w:val="a2"/>
    <w:uiPriority w:val="39"/>
    <w:unhideWhenUsed/>
    <w:qFormat/>
    <w:pPr>
      <w:spacing w:before="240" w:line="259" w:lineRule="auto"/>
      <w:outlineLvl w:val="9"/>
    </w:pPr>
    <w:rPr>
      <w:rFonts w:asciiTheme="majorHAnsi" w:cstheme="majorBidi" w:eastAsiaTheme="majorEastAsia" w:hAnsiTheme="majorHAnsi"/>
      <w:color w:themeColor="accent1" w:themeShade="BF" w:val="0F4761"/>
    </w:rPr>
  </w:style>
  <w:style w:customStyle="1" w:styleId="SourceCode" w:type="paragraph">
    <w:name w:val="Source Code"/>
    <w:link w:val="VerbatimChar"/>
    <w:rsid w:val="00FE2A30"/>
    <w:pPr>
      <w:shd w:color="auto" w:fill="F2F2F2" w:themeFill="background1" w:themeFillShade="F2" w:val="clear"/>
      <w:wordWrap w:val="0"/>
      <w:spacing w:after="100" w:afterLines="100" w:before="100" w:beforeLines="100"/>
    </w:pPr>
    <w:rPr>
      <w:rFonts w:ascii="Consolas" w:cs="Times New Roman (正文 CS 字体)" w:eastAsia="Arial" w:hAnsi="Consolas"/>
      <w:sz w:val="22"/>
    </w:rPr>
  </w:style>
  <w:style w:styleId="af1" w:type="character">
    <w:name w:val="FollowedHyperlink"/>
    <w:basedOn w:val="a3"/>
    <w:rsid w:val="0011788E"/>
    <w:rPr>
      <w:color w:themeColor="followedHyperlink" w:val="96607D"/>
      <w:u w:val="single"/>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105</TotalTime>
  <Pages>1</Pages>
  <Words>65</Words>
  <Characters>371</Characters>
  <Application>Microsoft Office Word</Application>
  <DocSecurity>0</DocSecurity>
  <Lines>3</Lines>
  <Paragraphs>1</Paragraphs>
  <ScaleCrop>false</ScaleCrop>
  <Company/>
  <LinksUpToDate>false</LinksUpToDate>
  <CharactersWithSpaces>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2026-07-10T05:21:45Z</dcterms:created>
  <dcterms:modified xsi:type="dcterms:W3CDTF">2026-07-10T05:21:45Z</dcterms:modified>
</cp:coreProperties>
</file>

<file path=docProps/custom.xml><?xml version="1.0" encoding="utf-8"?>
<Properties xmlns="http://schemas.openxmlformats.org/officeDocument/2006/custom-properties" xmlns:vt="http://schemas.openxmlformats.org/officeDocument/2006/docPropsVTypes"/>
</file>