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addendum-méthodologique-v0.2"/>
    <w:p>
      <w:pPr>
        <w:pStyle w:val="Heading1"/>
      </w:pPr>
      <w:r>
        <w:t xml:space="preserve">Addendum méthodologique v0.2</w:t>
      </w:r>
    </w:p>
    <w:bookmarkStart w:id="20" w:name="Xaef5bf58f566c85c6b6b811f911e5945ed34343"/>
    <w:p>
      <w:pPr>
        <w:pStyle w:val="Heading2"/>
      </w:pPr>
      <w:r>
        <w:t xml:space="preserve">Compression taxonomique, régimes d’accès et constantes fixées par convention</w:t>
      </w:r>
    </w:p>
    <w:bookmarkEnd w:id="20"/>
    <w:bookmarkStart w:id="21" w:name="fonction-de-laddendum"/>
    <w:p>
      <w:pPr>
        <w:pStyle w:val="Heading2"/>
      </w:pPr>
      <w:r>
        <w:t xml:space="preserve">1. Fonction de l’addendum</w:t>
      </w:r>
    </w:p>
    <w:p>
      <w:pPr>
        <w:pStyle w:val="FirstParagraph"/>
      </w:pPr>
      <w:r>
        <w:t xml:space="preserve">Cet addendum corrige trois fragilités de la méthode v0.1 avant l’ouverture du quatrième cycle.</w:t>
      </w:r>
    </w:p>
    <w:p>
      <w:pPr>
        <w:pStyle w:val="BodyText"/>
      </w:pPr>
      <w:r>
        <w:t xml:space="preserve">Première fragilité : la typologie risque de se multiplier trop vite. Si chaque constante étudiée produit sa propre catégorie, la méthode décrit mais ne classe pas. Une taxonomie doit compresser : plusieurs grandeurs hétérogènes doivent pouvoir être rangées sous un même type.</w:t>
      </w:r>
    </w:p>
    <w:p>
      <w:pPr>
        <w:pStyle w:val="BodyText"/>
      </w:pPr>
      <w:r>
        <w:t xml:space="preserve">Deuxième fragilité : le mot</w:t>
      </w:r>
      <w:r>
        <w:t xml:space="preserve"> </w:t>
      </w:r>
      <w:r>
        <w:t xml:space="preserve">“régime”</w:t>
      </w:r>
      <w:r>
        <w:t xml:space="preserve"> </w:t>
      </w:r>
      <w:r>
        <w:t xml:space="preserve">recouvre deux plans différents. Certains régimes sont physiques : domaine d’énergie, phase, symétrie brisée, régime confiné, régime cosmologique. D’autres sont des régimes d’accès : procédure de mesure, convention métrologique, schéma de renormalisation, ajustement de modèle, protocole expérimental.</w:t>
      </w:r>
    </w:p>
    <w:p>
      <w:pPr>
        <w:pStyle w:val="BodyText"/>
      </w:pPr>
      <w:r>
        <w:t xml:space="preserve">Troisième fragilité : l’échelle de stabilisation empirique ne suffit pas. Certaines grandeurs sont fortement contraintes expérimentalement ; d’autres sont structurellement ouvertes ; d’autres encore sont fixées exactement par convention dans un système d’unités. Ces statuts ne relèvent pas du même axe.</w:t>
      </w:r>
    </w:p>
    <w:bookmarkEnd w:id="21"/>
    <w:bookmarkStart w:id="22" w:name="compression-taxonomique"/>
    <w:p>
      <w:pPr>
        <w:pStyle w:val="Heading2"/>
      </w:pPr>
      <w:r>
        <w:t xml:space="preserve">2. Compression taxonomique</w:t>
      </w:r>
    </w:p>
    <w:p>
      <w:pPr>
        <w:pStyle w:val="FirstParagraph"/>
      </w:pPr>
      <w:r>
        <w:t xml:space="preserve">La méthode doit distinguer deux niveaux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et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Les familles fonctionnelles désignent les grands rôles de constance. Les sous-types locaux désignent des formes particulières prises dans un secteur physique donné.</w:t>
      </w:r>
    </w:p>
    <w:p>
      <w:pPr>
        <w:pStyle w:val="BodyText"/>
      </w:pPr>
      <w:r>
        <w:t xml:space="preserve">Les familles actuellement retenues sont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Famille fonctionnelle</w:t>
            </w:r>
          </w:p>
        </w:tc>
        <w:tc>
          <w:tcPr/>
          <w:p>
            <w:pPr>
              <w:pStyle w:val="Compact"/>
            </w:pPr>
            <w:r>
              <w:t xml:space="preserve">Fonction générale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Couplage</w:t>
            </w:r>
          </w:p>
        </w:tc>
        <w:tc>
          <w:tcPr/>
          <w:p>
            <w:pPr>
              <w:pStyle w:val="Compact"/>
            </w:pPr>
            <w:r>
              <w:t xml:space="preserve">Mesurer ou paramétrer une intensité d’interaction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Échelle</w:t>
            </w:r>
          </w:p>
        </w:tc>
        <w:tc>
          <w:tcPr/>
          <w:p>
            <w:pPr>
              <w:pStyle w:val="Compact"/>
            </w:pPr>
            <w:r>
              <w:t xml:space="preserve">Fixer ou révéler une échelle structurante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Relation</w:t>
            </w:r>
          </w:p>
        </w:tc>
        <w:tc>
          <w:tcPr/>
          <w:p>
            <w:pPr>
              <w:pStyle w:val="Compact"/>
            </w:pPr>
            <w:r>
              <w:t xml:space="preserve">Mettre en rapport plusieurs régimes, bases ou grandeurs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Raccordement</w:t>
            </w:r>
          </w:p>
        </w:tc>
        <w:tc>
          <w:tcPr/>
          <w:p>
            <w:pPr>
              <w:pStyle w:val="Compact"/>
            </w:pPr>
            <w:r>
              <w:t xml:space="preserve">Relier une description effective à une description plus complète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Orientation</w:t>
            </w:r>
          </w:p>
        </w:tc>
        <w:tc>
          <w:tcPr/>
          <w:p>
            <w:pPr>
              <w:pStyle w:val="Compact"/>
            </w:pPr>
            <w:r>
              <w:t xml:space="preserve">Fixer un mélange, une projection ou une 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Fond</w:t>
            </w:r>
          </w:p>
        </w:tc>
        <w:tc>
          <w:tcPr/>
          <w:p>
            <w:pPr>
              <w:pStyle w:val="Compact"/>
            </w:pPr>
            <w:r>
              <w:t xml:space="preserve">Structurer une dynamique globale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Seuil</w:t>
            </w:r>
          </w:p>
        </w:tc>
        <w:tc>
          <w:tcPr/>
          <w:p>
            <w:pPr>
              <w:pStyle w:val="Compact"/>
            </w:pPr>
            <w:r>
              <w:t xml:space="preserve">Fixer ou borner l’ancrage absolu d’un spectre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Convention</w:t>
            </w:r>
          </w:p>
        </w:tc>
        <w:tc>
          <w:tcPr/>
          <w:p>
            <w:pPr>
              <w:pStyle w:val="Compact"/>
            </w:pPr>
            <w:r>
              <w:t xml:space="preserve">Définir exactement une unité ou un système de mesure</w:t>
            </w:r>
          </w:p>
        </w:tc>
      </w:tr>
    </w:tbl>
    <w:p>
      <w:pPr>
        <w:pStyle w:val="BodyText"/>
      </w:pPr>
      <w:r>
        <w:t xml:space="preserve">Les anciennes catégories doivent être relues comme sous-types.</w:t>
      </w:r>
    </w:p>
    <w:p>
      <w:pPr>
        <w:pStyle w:val="BodyText"/>
      </w:pPr>
      <w:r>
        <w:t xml:space="preserve">Par exemple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ne doivent plus être traitées immédiatement comme catégories de même rang. Elles deviennent des sous-types possibles des familles</w:t>
      </w:r>
      <w:r>
        <w:t xml:space="preserve"> </w:t>
      </w:r>
      <w:r>
        <w:t xml:space="preserve">“Échelle”</w:t>
      </w:r>
      <w:r>
        <w:t xml:space="preserve">,</w:t>
      </w:r>
      <w:r>
        <w:t xml:space="preserve"> </w:t>
      </w:r>
      <w:r>
        <w:t xml:space="preserve">“Relation”</w:t>
      </w:r>
      <w:r>
        <w:t xml:space="preserve"> </w:t>
      </w:r>
      <w:r>
        <w:t xml:space="preserve">ou</w:t>
      </w:r>
      <w:r>
        <w:t xml:space="preserve"> </w:t>
      </w:r>
      <w:r>
        <w:t xml:space="preserve">“Couplage”</w:t>
      </w:r>
      <w:r>
        <w:t xml:space="preserve">, selon le cas.</w:t>
      </w:r>
    </w:p>
    <w:p>
      <w:pPr>
        <w:pStyle w:val="BodyText"/>
      </w:pPr>
      <w:r>
        <w:t xml:space="preserve">De même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ne sont pas trois familles générales indépendantes. Ce sont des sous-types du grand type</w:t>
      </w:r>
      <w:r>
        <w:t xml:space="preserve"> </w:t>
      </w:r>
      <w:r>
        <w:t xml:space="preserve">“Orientation / structure de transition”</w:t>
      </w:r>
      <w:r>
        <w:t xml:space="preserve">, propres au secteur neutrino.</w:t>
      </w:r>
    </w:p>
    <w:p>
      <w:pPr>
        <w:pStyle w:val="BodyText"/>
      </w:pPr>
      <w:r>
        <w:t xml:space="preserve">La règle devient :</w:t>
      </w:r>
    </w:p>
    <w:p>
      <w:pPr>
        <w:pStyle w:val="BodyText"/>
      </w:pPr>
      <w:r>
        <w:rPr>
          <w:b/>
          <w:bCs/>
        </w:rPr>
        <w:t xml:space="preserve">aucune nouvelle catégorie ne doit être créée si une famille existante peut l’absorber sans perte de précision.</w:t>
      </w:r>
    </w:p>
    <w:bookmarkEnd w:id="22"/>
    <w:bookmarkStart w:id="25" w:name="bifurcation-du-régime"/>
    <w:p>
      <w:pPr>
        <w:pStyle w:val="Heading2"/>
      </w:pPr>
      <w:r>
        <w:t xml:space="preserve">3. Bifurcation du régime</w:t>
      </w:r>
    </w:p>
    <w:p>
      <w:pPr>
        <w:pStyle w:val="FirstParagraph"/>
      </w:pPr>
      <w:r>
        <w:t xml:space="preserve">La méthode distingue désormais deux axes.</w:t>
      </w:r>
    </w:p>
    <w:bookmarkStart w:id="23" w:name="régime-de-définition-physique"/>
    <w:p>
      <w:pPr>
        <w:pStyle w:val="Heading3"/>
      </w:pPr>
      <w:r>
        <w:t xml:space="preserve">3.1 Régime de définition physique</w:t>
      </w:r>
    </w:p>
    <w:p>
      <w:pPr>
        <w:pStyle w:val="FirstParagraph"/>
      </w:pPr>
      <w:r>
        <w:t xml:space="preserve">Le régime de définition physique désigne le domaine où la grandeur joue un rôle dans la structure du monde physique décrit.</w:t>
      </w:r>
    </w:p>
    <w:p>
      <w:pPr>
        <w:pStyle w:val="BodyText"/>
      </w:pPr>
      <w:r>
        <w:t xml:space="preserve">Exemples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bookmarkEnd w:id="23"/>
    <w:bookmarkStart w:id="24" w:name="régime-daccès-épistémique"/>
    <w:p>
      <w:pPr>
        <w:pStyle w:val="Heading3"/>
      </w:pPr>
      <w:r>
        <w:t xml:space="preserve">3.2 Régime d’accès épistémique</w:t>
      </w:r>
    </w:p>
    <w:p>
      <w:pPr>
        <w:pStyle w:val="FirstParagraph"/>
      </w:pPr>
      <w:r>
        <w:t xml:space="preserve">Le régime d’accès épistémique désigne la procédure par laquelle la grandeur est fixée, mesurée, reconstruite ou rendue comparable.</w:t>
      </w:r>
    </w:p>
    <w:p>
      <w:pPr>
        <w:pStyle w:val="BodyText"/>
      </w:pPr>
      <w:r>
        <w:t xml:space="preserve">Exemples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Cette bifurcation empêche de confondre une structure du monde avec une structure d’accès au monde.</w:t>
      </w:r>
    </w:p>
    <w:bookmarkEnd w:id="24"/>
    <w:bookmarkEnd w:id="25"/>
    <w:bookmarkStart w:id="28" w:name="révision-de-laxe-de-stabilisation"/>
    <w:p>
      <w:pPr>
        <w:pStyle w:val="Heading2"/>
      </w:pPr>
      <w:r>
        <w:t xml:space="preserve">4. Révision de l’axe de stabilisation</w:t>
      </w:r>
    </w:p>
    <w:p>
      <w:pPr>
        <w:pStyle w:val="FirstParagraph"/>
      </w:pPr>
      <w:r>
        <w:t xml:space="preserve">La stabilisation ne doit plus être un axe unique. Elle doit être dédoublée.</w:t>
      </w:r>
    </w:p>
    <w:bookmarkStart w:id="26" w:name="stabilisation-empirique"/>
    <w:p>
      <w:pPr>
        <w:pStyle w:val="Heading3"/>
      </w:pPr>
      <w:r>
        <w:t xml:space="preserve">4.1 Stabilisation empirique</w:t>
      </w:r>
    </w:p>
    <w:p>
      <w:pPr>
        <w:pStyle w:val="FirstParagraph"/>
      </w:pPr>
      <w:r>
        <w:t xml:space="preserve">Cet axe indique le degré auquel la grandeur est mesurée, contrainte ou reconstruite.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Empiriquement forte</w:t>
            </w:r>
          </w:p>
        </w:tc>
        <w:tc>
          <w:tcPr/>
          <w:p>
            <w:pPr>
              <w:pStyle w:val="Compact"/>
            </w:pPr>
            <w:r>
              <w:t xml:space="preserve">Mesure ou contrainte robuste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Partiellement stabilisée</w:t>
            </w:r>
          </w:p>
        </w:tc>
        <w:tc>
          <w:tcPr/>
          <w:p>
            <w:pPr>
              <w:pStyle w:val="Compact"/>
            </w:pPr>
            <w:r>
              <w:t xml:space="preserve">Valeur générale connue, détail ouvert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 cours de stabilisation</w:t>
            </w:r>
          </w:p>
        </w:tc>
        <w:tc>
          <w:tcPr/>
          <w:p>
            <w:pPr>
              <w:pStyle w:val="Compact"/>
            </w:pPr>
            <w:r>
              <w:t xml:space="preserve">Paramètre nécessaire mais valeur encore incertaine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Bornée</w:t>
            </w:r>
          </w:p>
        </w:tc>
        <w:tc>
          <w:tcPr/>
          <w:p>
            <w:pPr>
              <w:pStyle w:val="Compact"/>
            </w:pPr>
            <w:r>
              <w:t xml:space="preserve">Limite supérieure ou inférieure sans mesure positive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Ouverte</w:t>
            </w:r>
          </w:p>
        </w:tc>
        <w:tc>
          <w:tcPr/>
          <w:p>
            <w:pPr>
              <w:pStyle w:val="Compact"/>
            </w:pPr>
            <w:r>
              <w:t xml:space="preserve">Statut physique non tranché</w:t>
            </w:r>
          </w:p>
        </w:tc>
      </w:tr>
    </w:tbl>
    <w:bookmarkEnd w:id="26"/>
    <w:bookmarkStart w:id="27" w:name="stabilisation-conventionnelle"/>
    <w:p>
      <w:pPr>
        <w:pStyle w:val="Heading3"/>
      </w:pPr>
      <w:r>
        <w:t xml:space="preserve">4.2 Stabilisation conventionnelle</w:t>
      </w:r>
    </w:p>
    <w:p>
      <w:pPr>
        <w:pStyle w:val="FirstParagraph"/>
      </w:pPr>
      <w:r>
        <w:t xml:space="preserve">Cet axe indique si la grandeur reçoit une valeur exacte par définition dans un système d’unités.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Fixée par convention</w:t>
            </w:r>
          </w:p>
        </w:tc>
        <w:tc>
          <w:tcPr/>
          <w:p>
            <w:pPr>
              <w:pStyle w:val="Compact"/>
            </w:pPr>
            <w:r>
              <w:t xml:space="preserve">Valeur exacte dans le SI ou un système d’unités donné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Déduite par convention</w:t>
            </w:r>
          </w:p>
        </w:tc>
        <w:tc>
          <w:tcPr/>
          <w:p>
            <w:pPr>
              <w:pStyle w:val="Compact"/>
            </w:pPr>
            <w:r>
              <w:t xml:space="preserve">Valeur exacte par composition de constantes définissantes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Mesurée dans le système</w:t>
            </w:r>
          </w:p>
        </w:tc>
        <w:tc>
          <w:tcPr/>
          <w:p>
            <w:pPr>
              <w:pStyle w:val="Compact"/>
            </w:pPr>
            <w:r>
              <w:t xml:space="preserve">Valeur déterminée expérimentalement dans les unités définies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 concernée</w:t>
            </w:r>
          </w:p>
        </w:tc>
        <w:tc>
          <w:tcPr/>
          <w:p>
            <w:pPr>
              <w:pStyle w:val="Compact"/>
            </w:pPr>
            <w:r>
              <w:t xml:space="preserve">Grandeur sans rôle direct dans la définition des unités</w:t>
            </w:r>
          </w:p>
        </w:tc>
      </w:tr>
    </w:tbl>
    <w:p>
      <w:pPr>
        <w:pStyle w:val="BodyText"/>
      </w:pPr>
      <w:r>
        <w:t xml:space="preserve">Cela permet de traiter correctement les constantes définissantes du SI. Une constante comme (k_B) peut être physiquement centrale pour la thermodynamique statistique et conventionnellement exacte dans le SI. Ces deux statuts ne disent pas la même chose.</w:t>
      </w:r>
    </w:p>
    <w:bookmarkEnd w:id="27"/>
    <w:bookmarkEnd w:id="28"/>
    <w:bookmarkStart w:id="29" w:name="X9d92a1a62c5b608a3a65ea92586afac574b2954"/>
    <w:p>
      <w:pPr>
        <w:pStyle w:val="Heading2"/>
      </w:pPr>
      <w:r>
        <w:t xml:space="preserve">5. Classe nouvelle : constante définissante d’un système d’unités</w:t>
      </w:r>
    </w:p>
    <w:p>
      <w:pPr>
        <w:pStyle w:val="FirstParagraph"/>
      </w:pPr>
      <w:r>
        <w:t xml:space="preserve">Le quatrième cycle doit introduire explicitement la catégorie :</w:t>
      </w:r>
    </w:p>
    <w:p>
      <w:pPr>
        <w:pStyle w:val="BodyText"/>
      </w:pPr>
      <w:r>
        <w:rPr>
          <w:b/>
          <w:bCs/>
        </w:rPr>
        <w:t xml:space="preserve">constante définissante d’un système d’unités.</w:t>
      </w:r>
    </w:p>
    <w:p>
      <w:pPr>
        <w:pStyle w:val="BodyText"/>
      </w:pPr>
      <w:r>
        <w:t xml:space="preserve">Définition provisoire :</w:t>
      </w:r>
    </w:p>
    <w:p>
      <w:pPr>
        <w:pStyle w:val="BodyText"/>
      </w:pPr>
      <w:r>
        <w:rPr>
          <w:b/>
          <w:bCs/>
        </w:rPr>
        <w:t xml:space="preserve">Une constante définissante d’un système d’unités est une grandeur à laquelle un système métrologique attribue une valeur numérique exacte afin de définir une ou plusieurs unités. Sa stabilisation numérique relève alors d’une convention métrologique, non d’une mesure expérimentale continue.</w:t>
      </w:r>
    </w:p>
    <w:p>
      <w:pPr>
        <w:pStyle w:val="BodyText"/>
      </w:pPr>
      <w:r>
        <w:t xml:space="preserve">Cette catégorie inclut notamment, dans le SI révisé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h,</w:t>
      </w:r>
      <w:r>
        <w:t xml:space="preserve">e,</w:t>
      </w:r>
      <w:r>
        <w:t xml:space="preserve">k_B,</w:t>
      </w:r>
      <w:r>
        <w:t xml:space="preserve">N_A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Elle peut aussi inclure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c,</w:t>
      </w:r>
      <w:r>
        <w:rPr>
          <w:i/>
          <w:iCs/>
        </w:rPr>
        <w:t xml:space="preserve">{</w:t>
      </w:r>
      <w:r>
        <w:rPr>
          <w:i/>
          <w:iCs/>
        </w:rPr>
        <w:t xml:space="preserve">},</w:t>
      </w:r>
      <w:r>
        <w:rPr>
          <w:i/>
          <w:iCs/>
        </w:rPr>
        <w:t xml:space="preserve">K</w:t>
      </w:r>
      <w:r>
        <w:t xml:space="preserve">{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selon le périmètre adopté.</w:t>
      </w:r>
    </w:p>
    <w:p>
      <w:pPr>
        <w:pStyle w:val="BodyText"/>
      </w:pPr>
      <w:r>
        <w:t xml:space="preserve">La conséquence méthodologique est décisive :</w:t>
      </w:r>
    </w:p>
    <w:p>
      <w:pPr>
        <w:pStyle w:val="BodyText"/>
      </w:pPr>
      <w:r>
        <w:rPr>
          <w:b/>
          <w:bCs/>
        </w:rPr>
        <w:t xml:space="preserve">une valeur exacte n’est pas nécessairement une valeur mieux mesurée ; elle peut être une valeur stipulée.</w:t>
      </w:r>
    </w:p>
    <w:bookmarkEnd w:id="29"/>
    <w:bookmarkStart w:id="30" w:name="X451f50fdf348b678f2a9dad9b15a4cb0f3716d7"/>
    <w:p>
      <w:pPr>
        <w:pStyle w:val="Heading2"/>
      </w:pPr>
      <w:r>
        <w:t xml:space="preserve">6. Cas dérivé : constante exacte par composition</w:t>
      </w:r>
    </w:p>
    <w:p>
      <w:pPr>
        <w:pStyle w:val="FirstParagraph"/>
      </w:pPr>
      <w:r>
        <w:t xml:space="preserve">La réforme du SI impose aussi une sous-catégorie :</w:t>
      </w:r>
    </w:p>
    <w:p>
      <w:pPr>
        <w:pStyle w:val="BodyText"/>
      </w:pPr>
      <w:r>
        <w:rPr>
          <w:b/>
          <w:bCs/>
        </w:rPr>
        <w:t xml:space="preserve">constante exacte par composition.</w:t>
      </w:r>
    </w:p>
    <w:p>
      <w:pPr>
        <w:pStyle w:val="BodyText"/>
      </w:pPr>
      <w:r>
        <w:t xml:space="preserve">Exemple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 = N_A k_B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Puisque (N_A) et (k_B) ont des valeurs exactes dans le SI, (R) possède également une valeur exacte par composition. Son exactitude ne vient pas d’une mesure directe indépendante ; elle vient de la structure du système d’unités.</w:t>
      </w:r>
    </w:p>
    <w:p>
      <w:pPr>
        <w:pStyle w:val="BodyText"/>
      </w:pPr>
      <w:r>
        <w:t xml:space="preserve">Définition provisoire :</w:t>
      </w:r>
    </w:p>
    <w:p>
      <w:pPr>
        <w:pStyle w:val="BodyText"/>
      </w:pPr>
      <w:r>
        <w:rPr>
          <w:b/>
          <w:bCs/>
        </w:rPr>
        <w:t xml:space="preserve">Une constante exacte par composition est une grandeur dont la valeur numérique est exacte parce qu’elle résulte algébriquement de constantes définissantes exactes.</w:t>
      </w:r>
    </w:p>
    <w:p>
      <w:pPr>
        <w:pStyle w:val="BodyText"/>
      </w:pPr>
      <w:r>
        <w:t xml:space="preserve">Cette catégorie sera testée par la fiche (R).</w:t>
      </w:r>
    </w:p>
    <w:bookmarkEnd w:id="30"/>
    <w:bookmarkStart w:id="31" w:name="matrice-courte-révisée"/>
    <w:p>
      <w:pPr>
        <w:pStyle w:val="Heading2"/>
      </w:pPr>
      <w:r>
        <w:t xml:space="preserve">7. Matrice courte révisée</w:t>
      </w:r>
    </w:p>
    <w:p>
      <w:pPr>
        <w:pStyle w:val="FirstParagraph"/>
      </w:pPr>
      <w:r>
        <w:t xml:space="preserve">La matrice minimale d’analyse devient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Critère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Grandeur</w:t>
            </w:r>
          </w:p>
        </w:tc>
        <w:tc>
          <w:tcPr/>
          <w:p>
            <w:pPr>
              <w:pStyle w:val="Compact"/>
            </w:pPr>
            <w:r>
              <w:t xml:space="preserve">De quoi parle-t-on exactement ?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logique</w:t>
            </w:r>
          </w:p>
        </w:tc>
        <w:tc>
          <w:tcPr/>
          <w:p>
            <w:pPr>
              <w:pStyle w:val="Compact"/>
            </w:pPr>
            <w:r>
              <w:t xml:space="preserve">Valeur, rapport, couplage, échelle, angle, phase, coefficient, densité ?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Dimensionnée ou sans dimension 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Régime de définition physique</w:t>
            </w:r>
          </w:p>
        </w:tc>
        <w:tc>
          <w:tcPr/>
          <w:p>
            <w:pPr>
              <w:pStyle w:val="Compact"/>
            </w:pPr>
            <w:r>
              <w:t xml:space="preserve">Dans quel domaine physique joue-t-elle un rôle 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Régime d’accès épistémique</w:t>
            </w:r>
          </w:p>
        </w:tc>
        <w:tc>
          <w:tcPr/>
          <w:p>
            <w:pPr>
              <w:pStyle w:val="Compact"/>
            </w:pPr>
            <w:r>
              <w:t xml:space="preserve">Par quelle procédure est-elle mesurée, fixée, reconstruite ou définie ?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Fonction</w:t>
            </w:r>
          </w:p>
        </w:tc>
        <w:tc>
          <w:tcPr/>
          <w:p>
            <w:pPr>
              <w:pStyle w:val="Compact"/>
            </w:pPr>
            <w:r>
              <w:t xml:space="preserve">Que stabilise-t-elle ?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Dépendance d’échelle</w:t>
            </w:r>
          </w:p>
        </w:tc>
        <w:tc>
          <w:tcPr/>
          <w:p>
            <w:pPr>
              <w:pStyle w:val="Compact"/>
            </w:pPr>
            <w:r>
              <w:t xml:space="preserve">Court-elle avec l’énergie ou dépend-elle d’un schéma 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Stabilisation empirique</w:t>
            </w:r>
          </w:p>
        </w:tc>
        <w:tc>
          <w:tcPr/>
          <w:p>
            <w:pPr>
              <w:pStyle w:val="Compact"/>
            </w:pPr>
            <w:r>
              <w:t xml:space="preserve">Mesurée, partielle, en cours, bornée, ouverte 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Stabilisation conventionnelle</w:t>
            </w:r>
          </w:p>
        </w:tc>
        <w:tc>
          <w:tcPr/>
          <w:p>
            <w:pPr>
              <w:pStyle w:val="Compact"/>
            </w:pPr>
            <w:r>
              <w:t xml:space="preserve">Fixée, dérivée, mesurée dans le système, non concernée ?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Limites</w:t>
            </w:r>
          </w:p>
        </w:tc>
        <w:tc>
          <w:tcPr/>
          <w:p>
            <w:pPr>
              <w:pStyle w:val="Compact"/>
            </w:pPr>
            <w:r>
              <w:t xml:space="preserve">Qu’est-ce qu’elle ne dit pas ?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Famille fonctionnelle</w:t>
            </w:r>
          </w:p>
        </w:tc>
        <w:tc>
          <w:tcPr/>
          <w:p>
            <w:pPr>
              <w:pStyle w:val="Compact"/>
            </w:pPr>
            <w:r>
              <w:t xml:space="preserve">Couplage, échelle, relation, raccordement, orientation, fond, seuil, convention 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Sous-type éventuel</w:t>
            </w:r>
          </w:p>
        </w:tc>
        <w:tc>
          <w:tcPr/>
          <w:p>
            <w:pPr>
              <w:pStyle w:val="Compact"/>
            </w:pPr>
            <w:r>
              <w:t xml:space="preserve">Type local si nécessaire seulement</w:t>
            </w:r>
          </w:p>
        </w:tc>
      </w:tr>
    </w:tbl>
    <w:bookmarkEnd w:id="31"/>
    <w:bookmarkStart w:id="32" w:name="critère-de-succès-du-quatrième-cycle"/>
    <w:p>
      <w:pPr>
        <w:pStyle w:val="Heading2"/>
      </w:pPr>
      <w:r>
        <w:t xml:space="preserve">8. Critère de succès du quatrième cycle</w:t>
      </w:r>
    </w:p>
    <w:p>
      <w:pPr>
        <w:pStyle w:val="FirstParagraph"/>
      </w:pPr>
      <w:r>
        <w:t xml:space="preserve">Le quatrième cycle ne doit pas seulement ajouter des fiches. Il doit tester la méthode révisée.</w:t>
      </w:r>
    </w:p>
    <w:p>
      <w:pPr>
        <w:pStyle w:val="BodyText"/>
      </w:pPr>
      <w:r>
        <w:t xml:space="preserve">Le cycle sera réussi si :</w:t>
      </w:r>
    </w:p>
    <w:p>
      <w:pPr>
        <w:numPr>
          <w:ilvl w:val="0"/>
          <w:numId w:val="1001"/>
        </w:numPr>
      </w:pPr>
      <w:r>
        <w:t xml:space="preserve">il impose clairement la distinction entre stabilisation empirique et stabilisation conventionnelle ;</w:t>
      </w:r>
    </w:p>
    <w:p>
      <w:pPr>
        <w:numPr>
          <w:ilvl w:val="0"/>
          <w:numId w:val="1001"/>
        </w:numPr>
      </w:pPr>
      <w:r>
        <w:t xml:space="preserve">il permet de classer (k_B), (N_A) et (R) sans créer une nouvelle catégorie pour chaque grandeur ;</w:t>
      </w:r>
    </w:p>
    <w:p>
      <w:pPr>
        <w:numPr>
          <w:ilvl w:val="0"/>
          <w:numId w:val="1001"/>
        </w:numPr>
      </w:pPr>
      <w:r>
        <w:t xml:space="preserve">il montre que certaines constantes dimensionnées peuvent être physiquement centrales tout en étant numériquement exactes par convention ;</w:t>
      </w:r>
    </w:p>
    <w:p>
      <w:pPr>
        <w:numPr>
          <w:ilvl w:val="0"/>
          <w:numId w:val="1001"/>
        </w:numPr>
      </w:pPr>
      <w:r>
        <w:t xml:space="preserve">il oblige la taxonomie à mieux compresser.</w:t>
      </w:r>
    </w:p>
    <w:p>
      <w:pPr>
        <w:pStyle w:val="FirstParagraph"/>
      </w:pPr>
      <w:r>
        <w:t xml:space="preserve">Le cycle sera insuffisant si :</w:t>
      </w:r>
    </w:p>
    <w:p>
      <w:pPr>
        <w:numPr>
          <w:ilvl w:val="0"/>
          <w:numId w:val="1002"/>
        </w:numPr>
      </w:pPr>
      <w:r>
        <w:t xml:space="preserve">chaque cas produit une catégorie nouvelle ;</w:t>
      </w:r>
    </w:p>
    <w:p>
      <w:pPr>
        <w:numPr>
          <w:ilvl w:val="0"/>
          <w:numId w:val="1002"/>
        </w:numPr>
      </w:pPr>
      <w:r>
        <w:t xml:space="preserve">la distinction régime physique / régime d’accès reste décorative ;</w:t>
      </w:r>
    </w:p>
    <w:p>
      <w:pPr>
        <w:numPr>
          <w:ilvl w:val="0"/>
          <w:numId w:val="1002"/>
        </w:numPr>
      </w:pPr>
      <w:r>
        <w:t xml:space="preserve">la valeur exacte des constantes SI est traitée comme une mesure infiniment précise ;</w:t>
      </w:r>
    </w:p>
    <w:p>
      <w:pPr>
        <w:numPr>
          <w:ilvl w:val="0"/>
          <w:numId w:val="1002"/>
        </w:numPr>
      </w:pPr>
      <w:r>
        <w:t xml:space="preserve">(R) n’est pas reconnu comme cas dérivé par composition.</w:t>
      </w:r>
    </w:p>
    <w:bookmarkEnd w:id="32"/>
    <w:bookmarkStart w:id="33" w:name="décision-stratégique"/>
    <w:p>
      <w:pPr>
        <w:pStyle w:val="Heading2"/>
      </w:pPr>
      <w:r>
        <w:t xml:space="preserve">9. Décision stratégique</w:t>
      </w:r>
    </w:p>
    <w:p>
      <w:pPr>
        <w:pStyle w:val="FirstParagraph"/>
      </w:pPr>
      <w:r>
        <w:t xml:space="preserve">Le quatrième cycle doit porter sur les constantes thermodynamiques et métrologiques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k_B,</w:t>
      </w:r>
      <w:r>
        <w:t xml:space="preserve">N_A,</w:t>
      </w:r>
      <w:r>
        <w:t xml:space="preserve">R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Ce choix attaque la fragilité centrale de la méthode : la confusion possible entre constance physique, stabilisation empirique et fixation conventionnelle.</w:t>
      </w:r>
    </w:p>
    <w:p>
      <w:pPr>
        <w:pStyle w:val="BodyText"/>
      </w:pPr>
      <w:r>
        <w:t xml:space="preserve">La séquence recommandée est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k_B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comme constante de passage micro/macro et constante définissante du kelvin,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N_A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comme constante de comptage/mole et constante définissante de la quantité de matière,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R=N_Ak_B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comme constante exacte par composition.</w:t>
      </w:r>
    </w:p>
    <w:p>
      <w:pPr>
        <w:pStyle w:val="BodyText"/>
      </w:pPr>
      <w:r>
        <w:t xml:space="preserve">Ce cycle doit être bref, fermé et méthodologiquement exigeant.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2026-07-09T06:25:57Z</dcterms:created>
  <dcterms:modified xsi:type="dcterms:W3CDTF">2026-07-09T06:25:57Z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