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éthode-v0.1"/>
    <w:p>
      <w:pPr>
        <w:pStyle w:val="Heading1"/>
      </w:pPr>
      <w:r>
        <w:t xml:space="preserve">Méthode v0.1</w:t>
      </w:r>
    </w:p>
    <w:bookmarkStart w:id="20" w:name="Xa6d8f0cfc364d14071bf27480007f3238a2adb9"/>
    <w:p>
      <w:pPr>
        <w:pStyle w:val="Heading2"/>
      </w:pPr>
      <w:r>
        <w:t xml:space="preserve">Lire les constantes comme fonctions de régime</w:t>
      </w:r>
    </w:p>
    <w:bookmarkEnd w:id="20"/>
    <w:bookmarkStart w:id="21" w:name="fonction-de-la-note"/>
    <w:p>
      <w:pPr>
        <w:pStyle w:val="Heading2"/>
      </w:pPr>
      <w:r>
        <w:t xml:space="preserve">1. Fonction de la note</w:t>
      </w:r>
    </w:p>
    <w:p>
      <w:pPr>
        <w:pStyle w:val="FirstParagraph"/>
      </w:pPr>
      <w:r>
        <w:t xml:space="preserve">Cette note définit la méthode de l’enquête sur les constantes effectives stabilisées. Elle ne propose pas une nouvelle théorie physique. Elle propose une manière de classer les constantes selon leur statut, leur régime de validité, leur mode d’observabilité et leur fonction dans une architecture physique.</w:t>
      </w:r>
    </w:p>
    <w:p>
      <w:pPr>
        <w:pStyle w:val="BodyText"/>
      </w:pPr>
      <w:r>
        <w:t xml:space="preserve">L’objectif est de déplacer l’analyse d’une question trop générale :</w:t>
      </w:r>
    </w:p>
    <w:p>
      <w:pPr>
        <w:pStyle w:val="BodyText"/>
      </w:pPr>
      <w:r>
        <w:t xml:space="preserve">[</w:t>
      </w:r>
      <w:r>
        <w:t xml:space="preserve"> </w:t>
      </w:r>
      <w:r>
        <w:t xml:space="preserve"> </w:t>
      </w:r>
      <w:r>
        <w:t xml:space="preserve">]</w:t>
      </w:r>
    </w:p>
    <w:p>
      <w:pPr>
        <w:pStyle w:val="BodyText"/>
      </w:pPr>
      <w:r>
        <w:t xml:space="preserve">vers une question plus opératoire :</w:t>
      </w:r>
    </w:p>
    <w:p>
      <w:pPr>
        <w:pStyle w:val="BodyText"/>
      </w:pPr>
      <w:r>
        <w:t xml:space="preserve">[</w:t>
      </w:r>
      <w:r>
        <w:t xml:space="preserve"> </w:t>
      </w:r>
      <w:r>
        <w:t xml:space="preserve"> </w:t>
      </w:r>
      <w:r>
        <w:t xml:space="preserve">]</w:t>
      </w:r>
    </w:p>
    <w:p>
      <w:pPr>
        <w:pStyle w:val="BodyText"/>
      </w:pPr>
      <w:r>
        <w:t xml:space="preserve">La méthode consiste donc à ne jamais isoler une constante de son contexte de définition. Une grandeur est toujours lue à travers un régime : régime d’énergie, régime de symétrie, régime effectif, régime cosmologique, régime oscillatoire, régime métrologique ou régime expérimental.</w:t>
      </w:r>
    </w:p>
    <w:bookmarkEnd w:id="21"/>
    <w:bookmarkStart w:id="22" w:name="principe-central"/>
    <w:p>
      <w:pPr>
        <w:pStyle w:val="Heading2"/>
      </w:pPr>
      <w:r>
        <w:t xml:space="preserve">2. Principe central</w:t>
      </w:r>
    </w:p>
    <w:p>
      <w:pPr>
        <w:pStyle w:val="FirstParagraph"/>
      </w:pPr>
      <w:r>
        <w:t xml:space="preserve">Le principe central de l’enquête est le suivant :</w:t>
      </w:r>
    </w:p>
    <w:p>
      <w:pPr>
        <w:pStyle w:val="BodyText"/>
      </w:pPr>
      <w:r>
        <w:rPr>
          <w:b/>
          <w:bCs/>
        </w:rPr>
        <w:t xml:space="preserve">Une constante physique n’est pas seulement une valeur stable ; elle est une grandeur dont la stabilité prend sens dans un régime physique déterminé.</w:t>
      </w:r>
    </w:p>
    <w:p>
      <w:pPr>
        <w:pStyle w:val="BodyText"/>
      </w:pPr>
      <w:r>
        <w:t xml:space="preserve">Cette stabilité peut prendre plusieurs formes. Elle peut être la stabilité d’une valeur, d’un rapport, d’une échelle, d’un couplage, d’un angle, d’une phase, d’un coefficient effectif, d’un seuil spectral ou d’un terme de fond cosmologique.</w:t>
      </w:r>
    </w:p>
    <w:p>
      <w:pPr>
        <w:pStyle w:val="BodyText"/>
      </w:pPr>
      <w:r>
        <w:t xml:space="preserve">La méthode ne demande donc pas seulement :</w:t>
      </w:r>
    </w:p>
    <w:p>
      <w:pPr>
        <w:pStyle w:val="BodyText"/>
      </w:pPr>
      <w:r>
        <w:t xml:space="preserve">[</w:t>
      </w:r>
      <w:r>
        <w:t xml:space="preserve"> </w:t>
      </w:r>
      <w:r>
        <w:t xml:space="preserve"> </w:t>
      </w:r>
      <w:r>
        <w:t xml:space="preserve">]</w:t>
      </w:r>
    </w:p>
    <w:p>
      <w:pPr>
        <w:pStyle w:val="BodyText"/>
      </w:pPr>
      <w:r>
        <w:t xml:space="preserve">Elle demande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22"/>
    <w:bookmarkStart w:id="23" w:name="définition-de-travail"/>
    <w:p>
      <w:pPr>
        <w:pStyle w:val="Heading2"/>
      </w:pPr>
      <w:r>
        <w:t xml:space="preserve">3. Définition de travail</w:t>
      </w:r>
    </w:p>
    <w:p>
      <w:pPr>
        <w:pStyle w:val="FirstParagraph"/>
      </w:pPr>
      <w:r>
        <w:t xml:space="preserve">Une constante effective stabilisée peut être définie ainsi :</w:t>
      </w:r>
    </w:p>
    <w:p>
      <w:pPr>
        <w:pStyle w:val="BodyText"/>
      </w:pPr>
      <w:r>
        <w:rPr>
          <w:b/>
          <w:bCs/>
        </w:rPr>
        <w:t xml:space="preserve">Une constante effective stabilisée est une grandeur dont la valeur, l’écart, le rapport, la relation, la phase ou la fonction devient robuste dans un régime physique déterminé, en permettant de mesurer une intensité, de fixer une échelle, de différencier une structure, de raccorder deux descriptions, d’orienter un mélange, de structurer un fond ou de stabiliser un motif de transition.</w:t>
      </w:r>
    </w:p>
    <w:p>
      <w:pPr>
        <w:pStyle w:val="BodyText"/>
      </w:pPr>
      <w:r>
        <w:t xml:space="preserve">Cette définition est fonctionnelle. Elle ne remplace pas les définitions physiques propres à chaque théorie. Elle sert à classer les rôles de constance.</w:t>
      </w:r>
    </w:p>
    <w:p>
      <w:pPr>
        <w:pStyle w:val="BodyText"/>
      </w:pPr>
      <w:r>
        <w:t xml:space="preserve">Elle implique trois points.</w:t>
      </w:r>
    </w:p>
    <w:p>
      <w:pPr>
        <w:pStyle w:val="BodyText"/>
      </w:pPr>
      <w:r>
        <w:t xml:space="preserve">Premièrement, une constante peut être très stable empiriquement sans être simple théoriquement.</w:t>
      </w:r>
    </w:p>
    <w:p>
      <w:pPr>
        <w:pStyle w:val="BodyText"/>
      </w:pPr>
      <w:r>
        <w:t xml:space="preserve">Deuxièmement, une constante peut être fondamentale dans une théorie donnée et effective dans une théorie plus large.</w:t>
      </w:r>
    </w:p>
    <w:p>
      <w:pPr>
        <w:pStyle w:val="BodyText"/>
      </w:pPr>
      <w:r>
        <w:t xml:space="preserve">Troisièmement, une constante peut être mesurable seulement à travers des rapports, des effets, des écarts, des phases ou des modèles.</w:t>
      </w:r>
    </w:p>
    <w:bookmarkEnd w:id="23"/>
    <w:bookmarkStart w:id="24" w:name="quest-ce-quun-régime-de-constance"/>
    <w:p>
      <w:pPr>
        <w:pStyle w:val="Heading2"/>
      </w:pPr>
      <w:r>
        <w:t xml:space="preserve">4. Qu’est-ce qu’un régime de constance ?</w:t>
      </w:r>
    </w:p>
    <w:p>
      <w:pPr>
        <w:pStyle w:val="FirstParagraph"/>
      </w:pPr>
      <w:r>
        <w:t xml:space="preserve">Un régime de constance est un domaine physique dans lequel une grandeur possède une définition stable, une procédure de mesure ou de reconstruction, et une fonction théorique identifiable.</w:t>
      </w:r>
    </w:p>
    <w:p>
      <w:pPr>
        <w:pStyle w:val="BodyText"/>
      </w:pPr>
      <w:r>
        <w:t xml:space="preserve">Un régime peut être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Une constante n’a donc pas toujours le même statut dans tous les régimes. Une grandeur peut être traitée comme constante dans une approximation basse énergie, dépendre d’une échelle dans un cadre quantique des champs, être reconstruite par un ajustement cosmologique ou se manifester comme phase dans un phénomène d’oscillation.</w:t>
      </w:r>
    </w:p>
    <w:p>
      <w:pPr>
        <w:pStyle w:val="BodyText"/>
      </w:pPr>
      <w:r>
        <w:t xml:space="preserve">La méthode exige donc de toujours préciser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4"/>
    <w:bookmarkStart w:id="29" w:name="distinctions-de-base"/>
    <w:p>
      <w:pPr>
        <w:pStyle w:val="Heading2"/>
      </w:pPr>
      <w:r>
        <w:t xml:space="preserve">5. Distinctions de base</w:t>
      </w:r>
    </w:p>
    <w:p>
      <w:pPr>
        <w:pStyle w:val="FirstParagraph"/>
      </w:pPr>
      <w:r>
        <w:t xml:space="preserve">La méthode repose sur plusieurs distinctions obligatoires.</w:t>
      </w:r>
    </w:p>
    <w:bookmarkStart w:id="25" w:name="dimensionné-sans-dimension"/>
    <w:p>
      <w:pPr>
        <w:pStyle w:val="Heading3"/>
      </w:pPr>
      <w:r>
        <w:t xml:space="preserve">5.1 Dimensionné / sans dimension</w:t>
      </w:r>
    </w:p>
    <w:p>
      <w:pPr>
        <w:pStyle w:val="FirstParagraph"/>
      </w:pPr>
      <w:r>
        <w:t xml:space="preserve">Une grandeur sans dimension est généralement plus robuste pour les comparaisons physiques directes :</w:t>
      </w:r>
    </w:p>
    <w:p>
      <w:pPr>
        <w:pStyle w:val="BodyText"/>
      </w:pPr>
      <w:r>
        <w:t xml:space="preserve">[</w:t>
      </w:r>
      <w:r>
        <w:t xml:space="preserve"> </w:t>
      </w:r>
      <w:r>
        <w:t xml:space="preserve">,</w:t>
      </w:r>
      <w:r>
        <w:t xml:space="preserve">,</w:t>
      </w:r>
      <w:r>
        <w:t xml:space="preserve">y_f,</w:t>
      </w:r>
      <w:r>
        <w:t xml:space="preserve">^2</w:t>
      </w:r>
      <w:r>
        <w:t xml:space="preserve">_W</w:t>
      </w:r>
      <w:r>
        <w:t xml:space="preserve"> </w:t>
      </w:r>
      <w:r>
        <w:t xml:space="preserve">]</w:t>
      </w:r>
    </w:p>
    <w:p>
      <w:pPr>
        <w:pStyle w:val="BodyText"/>
      </w:pPr>
      <w:r>
        <w:t xml:space="preserve">Une grandeur dimensionnée exige un contexte d’unités, de rapports ou d’échelles :</w:t>
      </w:r>
    </w:p>
    <w:p>
      <w:pPr>
        <w:pStyle w:val="BodyText"/>
      </w:pPr>
      <w:r>
        <w:t xml:space="preserve">[</w:t>
      </w:r>
      <w:r>
        <w:t xml:space="preserve"> </w:t>
      </w:r>
      <w:r>
        <w:t xml:space="preserve">m_e,</w:t>
      </w:r>
      <w:r>
        <w:t xml:space="preserve">v,</w:t>
      </w:r>
      <w:r>
        <w:t xml:space="preserve">G,</w:t>
      </w:r>
      <w:r>
        <w:t xml:space="preserve">G_F,</w:t>
      </w:r>
      <w:r>
        <w:t xml:space="preserve"> </w:t>
      </w:r>
      <w:r>
        <w:t xml:space="preserve">]</w:t>
      </w:r>
    </w:p>
    <w:p>
      <w:pPr>
        <w:pStyle w:val="BodyText"/>
      </w:pPr>
      <w:r>
        <w:t xml:space="preserve">Cela ne rend pas les grandeurs dimensionnées secondaires. Certaines sont physiquement centrales. Mais leur contenu doit être formulé avec prudence : par des rapports, des échelles, des effets observables ou des régimes de validité.</w:t>
      </w:r>
    </w:p>
    <w:bookmarkEnd w:id="25"/>
    <w:bookmarkStart w:id="26" w:name="valeur-fonction"/>
    <w:p>
      <w:pPr>
        <w:pStyle w:val="Heading3"/>
      </w:pPr>
      <w:r>
        <w:t xml:space="preserve">5.2 Valeur / fonction</w:t>
      </w:r>
    </w:p>
    <w:p>
      <w:pPr>
        <w:pStyle w:val="FirstParagraph"/>
      </w:pPr>
      <w:r>
        <w:t xml:space="preserve">Une constante n’est pas seulement une valeur numérique. Elle peut exercer une fonction.</w:t>
      </w:r>
    </w:p>
    <w:p>
      <w:pPr>
        <w:pStyle w:val="BodyText"/>
      </w:pPr>
      <w:r>
        <w:t xml:space="preserve">Elle peut mesurer :</w:t>
      </w:r>
    </w:p>
    <w:p>
      <w:pPr>
        <w:pStyle w:val="BodyText"/>
      </w:pPr>
      <w:r>
        <w:t xml:space="preserve">[</w:t>
      </w:r>
      <w:r>
        <w:t xml:space="preserve"> </w:t>
      </w:r>
      <w:r>
        <w:t xml:space="preserve"> </w:t>
      </w:r>
      <w:r>
        <w:t xml:space="preserve">]</w:t>
      </w:r>
    </w:p>
    <w:p>
      <w:pPr>
        <w:pStyle w:val="BodyText"/>
      </w:pPr>
      <w:r>
        <w:t xml:space="preserve">Elle peut fixer une échelle :</w:t>
      </w:r>
    </w:p>
    <w:p>
      <w:pPr>
        <w:pStyle w:val="BodyText"/>
      </w:pPr>
      <w:r>
        <w:t xml:space="preserve">[</w:t>
      </w:r>
      <w:r>
        <w:t xml:space="preserve"> </w:t>
      </w:r>
      <w:r>
        <w:t xml:space="preserve">v</w:t>
      </w:r>
      <w:r>
        <w:t xml:space="preserve"> </w:t>
      </w:r>
      <w:r>
        <w:t xml:space="preserve">]</w:t>
      </w:r>
    </w:p>
    <w:p>
      <w:pPr>
        <w:pStyle w:val="BodyText"/>
      </w:pPr>
      <w:r>
        <w:t xml:space="preserve">Elle peut raccorder deux descriptions :</w:t>
      </w:r>
    </w:p>
    <w:p>
      <w:pPr>
        <w:pStyle w:val="BodyText"/>
      </w:pPr>
      <w:r>
        <w:t xml:space="preserve">[</w:t>
      </w:r>
      <w:r>
        <w:t xml:space="preserve"> </w:t>
      </w:r>
      <w:r>
        <w:t xml:space="preserve">G_F</w:t>
      </w:r>
      <w:r>
        <w:t xml:space="preserve"> </w:t>
      </w:r>
      <w:r>
        <w:t xml:space="preserve">]</w:t>
      </w:r>
    </w:p>
    <w:p>
      <w:pPr>
        <w:pStyle w:val="BodyText"/>
      </w:pPr>
      <w:r>
        <w:t xml:space="preserve">Elle peut orienter un mélange :</w:t>
      </w:r>
    </w:p>
    <w:p>
      <w:pPr>
        <w:pStyle w:val="BodyText"/>
      </w:pPr>
      <w:r>
        <w:t xml:space="preserve">[</w:t>
      </w:r>
      <w:r>
        <w:t xml:space="preserve"> </w:t>
      </w:r>
      <w:r>
        <w:t xml:space="preserve">_W</w:t>
      </w:r>
      <w:r>
        <w:t xml:space="preserve"> </w:t>
      </w:r>
      <w:r>
        <w:t xml:space="preserve">]</w:t>
      </w:r>
    </w:p>
    <w:p>
      <w:pPr>
        <w:pStyle w:val="BodyText"/>
      </w:pPr>
      <w:r>
        <w:t xml:space="preserve">Elle peut stabiliser un déphasage :</w:t>
      </w:r>
    </w:p>
    <w:p>
      <w:pPr>
        <w:pStyle w:val="BodyText"/>
      </w:pPr>
      <w:r>
        <w:t xml:space="preserve">[</w:t>
      </w:r>
      <w:r>
        <w:t xml:space="preserve"> </w:t>
      </w:r>
      <w:r>
        <w:t xml:space="preserve">m^2</w:t>
      </w:r>
      <w:r>
        <w:t xml:space="preserve"> </w:t>
      </w:r>
      <w:r>
        <w:t xml:space="preserve">]</w:t>
      </w:r>
    </w:p>
    <w:p>
      <w:pPr>
        <w:pStyle w:val="BodyText"/>
      </w:pPr>
      <w:r>
        <w:t xml:space="preserve">Elle peut structurer un fond cosmologique :</w:t>
      </w:r>
    </w:p>
    <w:p>
      <w:pPr>
        <w:pStyle w:val="BodyText"/>
      </w:pPr>
      <w:r>
        <w:t xml:space="preserve">[</w:t>
      </w:r>
      <w:r>
        <w:t xml:space="preserve"> </w:t>
      </w:r>
      <w:r>
        <w:t xml:space="preserve"> </w:t>
      </w:r>
      <w:r>
        <w:t xml:space="preserve">]</w:t>
      </w:r>
    </w:p>
    <w:p>
      <w:pPr>
        <w:pStyle w:val="BodyText"/>
      </w:pPr>
      <w:r>
        <w:t xml:space="preserve">La méthode consiste donc à demander ce que la constante fait dans la théorie ou dans le régime observé.</w:t>
      </w:r>
    </w:p>
    <w:bookmarkEnd w:id="26"/>
    <w:bookmarkStart w:id="27" w:name="fondamental-effectif"/>
    <w:p>
      <w:pPr>
        <w:pStyle w:val="Heading3"/>
      </w:pPr>
      <w:r>
        <w:t xml:space="preserve">5.3 Fondamental / effectif</w:t>
      </w:r>
    </w:p>
    <w:p>
      <w:pPr>
        <w:pStyle w:val="FirstParagraph"/>
      </w:pPr>
      <w:r>
        <w:t xml:space="preserve">Une grandeur peut être fondamentale dans un cadre théorique donné et effective dans un cadre plus large. Cette distinction doit rester ouverte.</w:t>
      </w:r>
    </w:p>
    <w:p>
      <w:pPr>
        <w:pStyle w:val="BodyText"/>
      </w:pPr>
      <w:r>
        <w:t xml:space="preserve">Un coefficient comme (G_F) est effectif parce qu’il décrit l’interaction faible basse énergie après réduction d’une structure électrofaible plus complète.</w:t>
      </w:r>
    </w:p>
    <w:p>
      <w:pPr>
        <w:pStyle w:val="BodyText"/>
      </w:pPr>
      <w:r>
        <w:t xml:space="preserve">Une masse comme (m_e) est une constante basse énergie très précise, mais son statut théorique dépend du couplage de Yukawa de l’électron et de la valeur moyenne du champ de Higgs.</w:t>
      </w:r>
    </w:p>
    <w:p>
      <w:pPr>
        <w:pStyle w:val="BodyText"/>
      </w:pPr>
      <w:r>
        <w:t xml:space="preserve">Une échelle comme (</w:t>
      </w:r>
      <w:r>
        <w:t xml:space="preserve">_{</w:t>
      </w:r>
      <w:r>
        <w:t xml:space="preserve">}) condense une dynamique de renormalisation et de confinement.</w:t>
      </w:r>
    </w:p>
    <w:p>
      <w:pPr>
        <w:pStyle w:val="BodyText"/>
      </w:pPr>
      <w:r>
        <w:t xml:space="preserve">La méthode ne classe donc pas une grandeur une fois pour toutes. Elle la classe relativement au cadre dans lequel elle est utilisée.</w:t>
      </w:r>
    </w:p>
    <w:bookmarkEnd w:id="27"/>
    <w:bookmarkStart w:id="28" w:name="mesure-directe-reconstruction"/>
    <w:p>
      <w:pPr>
        <w:pStyle w:val="Heading3"/>
      </w:pPr>
      <w:r>
        <w:t xml:space="preserve">5.4 Mesure directe / reconstruction</w:t>
      </w:r>
    </w:p>
    <w:p>
      <w:pPr>
        <w:pStyle w:val="FirstParagraph"/>
      </w:pPr>
      <w:r>
        <w:t xml:space="preserve">Certaines constantes sont mesurées de manière relativement directe. D’autres sont reconstruites à partir de modèles, de corrections, de probabilités ou d’ajustements.</w:t>
      </w:r>
    </w:p>
    <w:p>
      <w:pPr>
        <w:pStyle w:val="BodyText"/>
      </w:pPr>
      <w:r>
        <w:t xml:space="preserve">La masse cinématique du neutrino (m_</w:t>
      </w:r>
      <w:r>
        <w:t xml:space="preserve">) est contrainte par le spectre bêta.</w:t>
      </w:r>
    </w:p>
    <w:p>
      <w:pPr>
        <w:pStyle w:val="BodyText"/>
      </w:pPr>
      <w:r>
        <w:t xml:space="preserve">La somme (</w:t>
      </w:r>
      <w:r>
        <w:t xml:space="preserve">m_</w:t>
      </w:r>
      <w:r>
        <w:t xml:space="preserve">) est contrainte par la cosmologie.</w:t>
      </w:r>
    </w:p>
    <w:p>
      <w:pPr>
        <w:pStyle w:val="BodyText"/>
      </w:pPr>
      <w:r>
        <w:t xml:space="preserve">La masse effective (m_{</w:t>
      </w:r>
      <w:r>
        <w:t xml:space="preserve">}) dépend d’un processus non encore observé et d’hypothèses Majorana.</w:t>
      </w:r>
    </w:p>
    <w:p>
      <w:pPr>
        <w:pStyle w:val="BodyText"/>
      </w:pPr>
      <w:r>
        <w:t xml:space="preserve">Ces trois grandeurs concernent le même secteur, mais elles ne sont pas le même objet expérimental. La méthode doit donc distinguer l’objet physique, l’observable et le protocole d’accès.</w:t>
      </w:r>
    </w:p>
    <w:bookmarkEnd w:id="28"/>
    <w:bookmarkEnd w:id="29"/>
    <w:bookmarkStart w:id="40" w:name="protocole-danalyse-dune-constante"/>
    <w:p>
      <w:pPr>
        <w:pStyle w:val="Heading2"/>
      </w:pPr>
      <w:r>
        <w:t xml:space="preserve">6. Protocole d’analyse d’une constante</w:t>
      </w:r>
    </w:p>
    <w:p>
      <w:pPr>
        <w:pStyle w:val="FirstParagraph"/>
      </w:pPr>
      <w:r>
        <w:t xml:space="preserve">Pour analyser une grandeur, on applique une grille en dix questions.</w:t>
      </w:r>
    </w:p>
    <w:bookmarkStart w:id="30" w:name="identification"/>
    <w:p>
      <w:pPr>
        <w:pStyle w:val="Heading3"/>
      </w:pPr>
      <w:r>
        <w:t xml:space="preserve">6.1 Identification</w:t>
      </w:r>
    </w:p>
    <w:p>
      <w:pPr>
        <w:pStyle w:val="FirstParagraph"/>
      </w:pPr>
      <w:r>
        <w:t xml:space="preserve">Quelle est la grandeur étudiée ?</w:t>
      </w:r>
    </w:p>
    <w:p>
      <w:pPr>
        <w:pStyle w:val="BodyText"/>
      </w:pPr>
      <w:r>
        <w:t xml:space="preserve">[</w:t>
      </w:r>
      <w:r>
        <w:t xml:space="preserve"> </w:t>
      </w:r>
      <w:r>
        <w:t xml:space="preserve">,</w:t>
      </w:r>
      <w:r>
        <w:t xml:space="preserve">m_e,</w:t>
      </w:r>
      <w:r>
        <w:t xml:space="preserve">v,</w:t>
      </w:r>
      <w:r>
        <w:t xml:space="preserve">G_F,</w:t>
      </w:r>
      <w:r>
        <w:t xml:space="preserve">_W,</w:t>
      </w:r>
      <w:r>
        <w:t xml:space="preserve">,</w:t>
      </w:r>
      <w:r>
        <w:t xml:space="preserve">m^2</w:t>
      </w:r>
      <w:r>
        <w:t xml:space="preserve"> </w:t>
      </w:r>
      <w:r>
        <w:t xml:space="preserve">]</w:t>
      </w:r>
    </w:p>
    <w:p>
      <w:pPr>
        <w:pStyle w:val="BodyText"/>
      </w:pPr>
      <w:r>
        <w:t xml:space="preserve">Quelle notation est utilisée ? Existe-t-il des ambiguïtés de notation ? La grandeur est-elle une valeur, un rapport, une matrice, un angle, une phase, une échelle ou un coefficient ?</w:t>
      </w:r>
    </w:p>
    <w:bookmarkEnd w:id="30"/>
    <w:bookmarkStart w:id="31" w:name="statut-dimensionnel"/>
    <w:p>
      <w:pPr>
        <w:pStyle w:val="Heading3"/>
      </w:pPr>
      <w:r>
        <w:t xml:space="preserve">6.2 Statut dimensionnel</w:t>
      </w:r>
    </w:p>
    <w:p>
      <w:pPr>
        <w:pStyle w:val="FirstParagraph"/>
      </w:pPr>
      <w:r>
        <w:t xml:space="preserve">La grandeur est-elle dimensionnée ou sans dimension ?</w:t>
      </w:r>
    </w:p>
    <w:p>
      <w:pPr>
        <w:pStyle w:val="BodyText"/>
      </w:pPr>
      <w:r>
        <w:t xml:space="preserve">Si elle est dimensionnée, quelles combinaisons sans dimension permettent d’en exprimer le contenu physique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G_F E^2</w:t>
      </w:r>
      <w:r>
        <w:t xml:space="preserve"> </w:t>
      </w:r>
      <w:r>
        <w:t xml:space="preserve">]</w:t>
      </w:r>
    </w:p>
    <w:bookmarkEnd w:id="31"/>
    <w:bookmarkStart w:id="32" w:name="régime-de-définition"/>
    <w:p>
      <w:pPr>
        <w:pStyle w:val="Heading3"/>
      </w:pPr>
      <w:r>
        <w:t xml:space="preserve">6.3 Régime de définition</w:t>
      </w:r>
    </w:p>
    <w:p>
      <w:pPr>
        <w:pStyle w:val="FirstParagraph"/>
      </w:pPr>
      <w:r>
        <w:t xml:space="preserve">Dans quel régime la grandeur devient-elle définissable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2"/>
    <w:bookmarkStart w:id="33" w:name="fonction-physique"/>
    <w:p>
      <w:pPr>
        <w:pStyle w:val="Heading3"/>
      </w:pPr>
      <w:r>
        <w:t xml:space="preserve">6.4 Fonction physique</w:t>
      </w:r>
    </w:p>
    <w:p>
      <w:pPr>
        <w:pStyle w:val="FirstParagraph"/>
      </w:pPr>
      <w:r>
        <w:t xml:space="preserve">Que fait cette grandeur ?</w:t>
      </w:r>
    </w:p>
    <w:p>
      <w:pPr>
        <w:pStyle w:val="BodyText"/>
      </w:pPr>
      <w:r>
        <w:t xml:space="preserve">Mesure-t-elle une intensité ? Fixe-t-elle une échelle ? Distribue-t-elle une structure ? Relie-t-elle deux régimes ? Oriente-t-elle un mélange ? Stabilise-t-elle un motif de transition ? Structure-t-elle un fond cosmologique ?</w:t>
      </w:r>
    </w:p>
    <w:p>
      <w:pPr>
        <w:pStyle w:val="BodyText"/>
      </w:pPr>
      <w:r>
        <w:t xml:space="preserve">Cette question est le cœur de la méthode.</w:t>
      </w:r>
    </w:p>
    <w:bookmarkEnd w:id="33"/>
    <w:bookmarkStart w:id="34" w:name="dépendance-déchelle"/>
    <w:p>
      <w:pPr>
        <w:pStyle w:val="Heading3"/>
      </w:pPr>
      <w:r>
        <w:t xml:space="preserve">6.5 Dépendance d’échelle</w:t>
      </w:r>
    </w:p>
    <w:p>
      <w:pPr>
        <w:pStyle w:val="FirstParagraph"/>
      </w:pPr>
      <w:r>
        <w:t xml:space="preserve">La grandeur dépend-elle d’une échelle d’énergie, de distance, de renormalisation ou de résolution ?</w:t>
      </w:r>
    </w:p>
    <w:p>
      <w:pPr>
        <w:pStyle w:val="BodyText"/>
      </w:pPr>
      <w:r>
        <w:t xml:space="preserve">Si oui, il faut distinguer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Une constante qui court avec l’échelle n’est pas</w:t>
      </w:r>
      <w:r>
        <w:t xml:space="preserve"> </w:t>
      </w:r>
      <w:r>
        <w:t xml:space="preserve">“moins physique”</w:t>
      </w:r>
      <w:r>
        <w:t xml:space="preserve">. Elle exige simplement une définition indexée au régime.</w:t>
      </w:r>
    </w:p>
    <w:bookmarkEnd w:id="34"/>
    <w:bookmarkStart w:id="35" w:name="mode-daccès-expérimental"/>
    <w:p>
      <w:pPr>
        <w:pStyle w:val="Heading3"/>
      </w:pPr>
      <w:r>
        <w:t xml:space="preserve">6.6 Mode d’accès expérimental</w:t>
      </w:r>
    </w:p>
    <w:p>
      <w:pPr>
        <w:pStyle w:val="FirstParagraph"/>
      </w:pPr>
      <w:r>
        <w:t xml:space="preserve">Comment la grandeur est-elle mesurée, reconstruite ou contrainte ?</w:t>
      </w:r>
    </w:p>
    <w:p>
      <w:pPr>
        <w:pStyle w:val="BodyText"/>
      </w:pPr>
      <w:r>
        <w:t xml:space="preserve">Par spectroscopie ? Par désintégration ? Par collision ? Par oscillation ? Par cosmologie ? Par ajustement global ? Par borne supérieure ?</w:t>
      </w:r>
    </w:p>
    <w:p>
      <w:pPr>
        <w:pStyle w:val="BodyText"/>
      </w:pPr>
      <w:r>
        <w:t xml:space="preserve">Cette question permet de distinguer constante, observable et inférence.</w:t>
      </w:r>
    </w:p>
    <w:bookmarkEnd w:id="35"/>
    <w:bookmarkStart w:id="36" w:name="degré-de-stabilisation"/>
    <w:p>
      <w:pPr>
        <w:pStyle w:val="Heading3"/>
      </w:pPr>
      <w:r>
        <w:t xml:space="preserve">6.7 Degré de stabilisation</w:t>
      </w:r>
    </w:p>
    <w:p>
      <w:pPr>
        <w:pStyle w:val="FirstParagraph"/>
      </w:pPr>
      <w:r>
        <w:t xml:space="preserve">La grandeur est-elle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 degré doit être indiqué explicitement. Il évite de donner la même maturité à des grandeurs très différentes.</w:t>
      </w:r>
    </w:p>
    <w:bookmarkEnd w:id="36"/>
    <w:bookmarkStart w:id="37" w:name="statut-théorique"/>
    <w:p>
      <w:pPr>
        <w:pStyle w:val="Heading3"/>
      </w:pPr>
      <w:r>
        <w:t xml:space="preserve">6.8 Statut théorique</w:t>
      </w:r>
    </w:p>
    <w:p>
      <w:pPr>
        <w:pStyle w:val="FirstParagraph"/>
      </w:pPr>
      <w:r>
        <w:t xml:space="preserve">La grandeur est-elle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méthode exige de ne pas forcer toutes les constantes dans une seule forme logique.</w:t>
      </w:r>
    </w:p>
    <w:bookmarkEnd w:id="37"/>
    <w:bookmarkStart w:id="38" w:name="questions-ouvertes"/>
    <w:p>
      <w:pPr>
        <w:pStyle w:val="Heading3"/>
      </w:pPr>
      <w:r>
        <w:t xml:space="preserve">6.9 Questions ouvertes</w:t>
      </w:r>
    </w:p>
    <w:p>
      <w:pPr>
        <w:pStyle w:val="FirstParagraph"/>
      </w:pPr>
      <w:r>
        <w:t xml:space="preserve">Qu’est-ce que la grandeur ne résout pas ?</w:t>
      </w:r>
    </w:p>
    <w:p>
      <w:pPr>
        <w:pStyle w:val="BodyText"/>
      </w:pPr>
      <w:r>
        <w:t xml:space="preserve">Une différence de masses au carré ne donne pas une masse absolue.</w:t>
      </w:r>
    </w:p>
    <w:p>
      <w:pPr>
        <w:pStyle w:val="BodyText"/>
      </w:pPr>
      <w:r>
        <w:t xml:space="preserve">Une borne cosmologique ne remplace pas une mesure cinématique directe.</w:t>
      </w:r>
    </w:p>
    <w:p>
      <w:pPr>
        <w:pStyle w:val="BodyText"/>
      </w:pPr>
      <w:r>
        <w:t xml:space="preserve">Une phase dans la matrice PMNS ne règle pas la nature Dirac/Majorana.</w:t>
      </w:r>
    </w:p>
    <w:p>
      <w:pPr>
        <w:pStyle w:val="BodyText"/>
      </w:pPr>
      <w:r>
        <w:t xml:space="preserve">Une constante cosmologique efficace dans un modèle ne règle pas son interprétation physique.</w:t>
      </w:r>
    </w:p>
    <w:p>
      <w:pPr>
        <w:pStyle w:val="BodyText"/>
      </w:pPr>
      <w:r>
        <w:t xml:space="preserve">Chaque fiche doit indiquer les limites du cas étudié.</w:t>
      </w:r>
    </w:p>
    <w:bookmarkEnd w:id="38"/>
    <w:bookmarkStart w:id="39" w:name="catégorie-proposée"/>
    <w:p>
      <w:pPr>
        <w:pStyle w:val="Heading3"/>
      </w:pPr>
      <w:r>
        <w:t xml:space="preserve">6.10 Catégorie proposée</w:t>
      </w:r>
    </w:p>
    <w:p>
      <w:pPr>
        <w:pStyle w:val="FirstParagraph"/>
      </w:pPr>
      <w:r>
        <w:t xml:space="preserve">À quelle catégorie provisoire appartient la grandeur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catégorie n’est pas un verdict définitif. C’est un outil de classement.</w:t>
      </w:r>
    </w:p>
    <w:bookmarkEnd w:id="39"/>
    <w:bookmarkEnd w:id="40"/>
    <w:bookmarkStart w:id="41" w:name="matrice-courte-danalyse"/>
    <w:p>
      <w:pPr>
        <w:pStyle w:val="Heading2"/>
      </w:pPr>
      <w:r>
        <w:t xml:space="preserve">7. Matrice courte d’analyse</w:t>
      </w:r>
    </w:p>
    <w:p>
      <w:pPr>
        <w:pStyle w:val="FirstParagraph"/>
      </w:pPr>
      <w:r>
        <w:t xml:space="preserve">La fiche minimale d’une constante doit pouvoir être ramenée au tableau suivant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Question</w:t>
            </w:r>
          </w:p>
        </w:tc>
      </w:tr>
      <w:tr>
        <w:tc>
          <w:tcPr/>
          <w:p>
            <w:pPr>
              <w:pStyle w:val="Compact"/>
            </w:pPr>
            <w:r>
              <w:t xml:space="preserve">Grandeur</w:t>
            </w:r>
          </w:p>
        </w:tc>
        <w:tc>
          <w:tcPr/>
          <w:p>
            <w:pPr>
              <w:pStyle w:val="Compact"/>
            </w:pPr>
            <w:r>
              <w:t xml:space="preserve">De quoi parle-t-on exactement ?</w:t>
            </w:r>
          </w:p>
        </w:tc>
      </w:tr>
      <w:tr>
        <w:tc>
          <w:tcPr/>
          <w:p>
            <w:pPr>
              <w:pStyle w:val="Compact"/>
            </w:pPr>
            <w:r>
              <w:t xml:space="preserve">Type logique</w:t>
            </w:r>
          </w:p>
        </w:tc>
        <w:tc>
          <w:tcPr/>
          <w:p>
            <w:pPr>
              <w:pStyle w:val="Compact"/>
            </w:pPr>
            <w:r>
              <w:t xml:space="preserve">Valeur, rapport, couplage, échelle, angle, phase, coefficient, densité ?</w:t>
            </w:r>
          </w:p>
        </w:tc>
      </w:tr>
      <w:tr>
        <w:tc>
          <w:tcPr/>
          <w:p>
            <w:pPr>
              <w:pStyle w:val="Compact"/>
            </w:pPr>
            <w:r>
              <w:t xml:space="preserve">Dimension</w:t>
            </w:r>
          </w:p>
        </w:tc>
        <w:tc>
          <w:tcPr/>
          <w:p>
            <w:pPr>
              <w:pStyle w:val="Compact"/>
            </w:pPr>
            <w:r>
              <w:t xml:space="preserve">Dimensionnée ou sans dimension ?</w:t>
            </w:r>
          </w:p>
        </w:tc>
      </w:tr>
      <w:tr>
        <w:tc>
          <w:tcPr/>
          <w:p>
            <w:pPr>
              <w:pStyle w:val="Compact"/>
            </w:pPr>
            <w:r>
              <w:t xml:space="preserve">Régime</w:t>
            </w:r>
          </w:p>
        </w:tc>
        <w:tc>
          <w:tcPr/>
          <w:p>
            <w:pPr>
              <w:pStyle w:val="Compact"/>
            </w:pPr>
            <w:r>
              <w:t xml:space="preserve">Dans quel régime est-elle définissable ?</w:t>
            </w:r>
          </w:p>
        </w:tc>
      </w:tr>
      <w:tr>
        <w:tc>
          <w:tcPr/>
          <w:p>
            <w:pPr>
              <w:pStyle w:val="Compact"/>
            </w:pPr>
            <w:r>
              <w:t xml:space="preserve">Fonction</w:t>
            </w:r>
          </w:p>
        </w:tc>
        <w:tc>
          <w:tcPr/>
          <w:p>
            <w:pPr>
              <w:pStyle w:val="Compact"/>
            </w:pPr>
            <w:r>
              <w:t xml:space="preserve">Que stabilise-t-elle ?</w:t>
            </w:r>
          </w:p>
        </w:tc>
      </w:tr>
      <w:tr>
        <w:tc>
          <w:tcPr/>
          <w:p>
            <w:pPr>
              <w:pStyle w:val="Compact"/>
            </w:pPr>
            <w:r>
              <w:t xml:space="preserve">Dépendance d’échelle</w:t>
            </w:r>
          </w:p>
        </w:tc>
        <w:tc>
          <w:tcPr/>
          <w:p>
            <w:pPr>
              <w:pStyle w:val="Compact"/>
            </w:pPr>
            <w:r>
              <w:t xml:space="preserve">Court-elle avec l’énergie ou dépend-elle d’un schéma ?</w:t>
            </w:r>
          </w:p>
        </w:tc>
      </w:tr>
      <w:tr>
        <w:tc>
          <w:tcPr/>
          <w:p>
            <w:pPr>
              <w:pStyle w:val="Compact"/>
            </w:pPr>
            <w:r>
              <w:t xml:space="preserve">Accès expérimental</w:t>
            </w:r>
          </w:p>
        </w:tc>
        <w:tc>
          <w:tcPr/>
          <w:p>
            <w:pPr>
              <w:pStyle w:val="Compact"/>
            </w:pPr>
            <w:r>
              <w:t xml:space="preserve">Comment est-elle mesurée ou reconstruite ?</w:t>
            </w:r>
          </w:p>
        </w:tc>
      </w:tr>
      <w:tr>
        <w:tc>
          <w:tcPr/>
          <w:p>
            <w:pPr>
              <w:pStyle w:val="Compact"/>
            </w:pPr>
            <w:r>
              <w:t xml:space="preserve">Degré de stabilisation</w:t>
            </w:r>
          </w:p>
        </w:tc>
        <w:tc>
          <w:tcPr/>
          <w:p>
            <w:pPr>
              <w:pStyle w:val="Compact"/>
            </w:pPr>
            <w:r>
              <w:t xml:space="preserve">Établie, partielle, en cours, bornée, ouverte ?</w:t>
            </w:r>
          </w:p>
        </w:tc>
      </w:tr>
      <w:tr>
        <w:tc>
          <w:tcPr/>
          <w:p>
            <w:pPr>
              <w:pStyle w:val="Compact"/>
            </w:pPr>
            <w:r>
              <w:t xml:space="preserve">Limites</w:t>
            </w:r>
          </w:p>
        </w:tc>
        <w:tc>
          <w:tcPr/>
          <w:p>
            <w:pPr>
              <w:pStyle w:val="Compact"/>
            </w:pPr>
            <w:r>
              <w:t xml:space="preserve">Qu’est-ce qu’elle ne dit pas ?</w:t>
            </w:r>
          </w:p>
        </w:tc>
      </w:tr>
      <w:tr>
        <w:tc>
          <w:tcPr/>
          <w:p>
            <w:pPr>
              <w:pStyle w:val="Compact"/>
            </w:pPr>
            <w:r>
              <w:t xml:space="preserve">Catégorie</w:t>
            </w:r>
          </w:p>
        </w:tc>
        <w:tc>
          <w:tcPr/>
          <w:p>
            <w:pPr>
              <w:pStyle w:val="Compact"/>
            </w:pPr>
            <w:r>
              <w:t xml:space="preserve">Quel type de constante effective stabilisée ?</w:t>
            </w:r>
          </w:p>
        </w:tc>
      </w:tr>
    </w:tbl>
    <w:p>
      <w:pPr>
        <w:pStyle w:val="BodyText"/>
      </w:pPr>
      <w:r>
        <w:t xml:space="preserve">Cette matrice est le noyau opérationnel de la méthode.</w:t>
      </w:r>
    </w:p>
    <w:bookmarkEnd w:id="41"/>
    <w:bookmarkStart w:id="42" w:name="typologie-fonctionnelle-actuelle"/>
    <w:p>
      <w:pPr>
        <w:pStyle w:val="Heading2"/>
      </w:pPr>
      <w:r>
        <w:t xml:space="preserve">8. Typologie fonctionnelle actuelle</w:t>
      </w:r>
    </w:p>
    <w:p>
      <w:pPr>
        <w:pStyle w:val="FirstParagraph"/>
      </w:pPr>
      <w:r>
        <w:t xml:space="preserve">La taxonomie provisoire distingue actuellement les catégories suivantes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Fonction</w:t>
            </w:r>
          </w:p>
        </w:tc>
      </w:tr>
      <w:tr>
        <w:tc>
          <w:tcPr/>
          <w:p>
            <w:pPr>
              <w:pStyle w:val="Compact"/>
            </w:pPr>
            <w:r>
              <w:t xml:space="preserve">Constante de couplage stabilisé</w:t>
            </w:r>
          </w:p>
        </w:tc>
        <w:tc>
          <w:tcPr/>
          <w:p>
            <w:pPr>
              <w:pStyle w:val="Compact"/>
            </w:pPr>
            <w:r>
              <w:t xml:space="preserve">Mesurer l’intensité d’une interaction dans un régime</w:t>
            </w:r>
          </w:p>
        </w:tc>
      </w:tr>
      <w:tr>
        <w:tc>
          <w:tcPr/>
          <w:p>
            <w:pPr>
              <w:pStyle w:val="Compact"/>
            </w:pPr>
            <w:r>
              <w:t xml:space="preserve">Constante de régime brisé</w:t>
            </w:r>
          </w:p>
        </w:tc>
        <w:tc>
          <w:tcPr/>
          <w:p>
            <w:pPr>
              <w:pStyle w:val="Compact"/>
            </w:pPr>
            <w:r>
              <w:t xml:space="preserve">Rendre une grandeur définissable après brisure de symétrie</w:t>
            </w:r>
          </w:p>
        </w:tc>
      </w:tr>
      <w:tr>
        <w:tc>
          <w:tcPr/>
          <w:p>
            <w:pPr>
              <w:pStyle w:val="Compact"/>
            </w:pPr>
            <w:r>
              <w:t xml:space="preserve">Constante relationnelle stratifiée</w:t>
            </w:r>
          </w:p>
        </w:tc>
        <w:tc>
          <w:tcPr/>
          <w:p>
            <w:pPr>
              <w:pStyle w:val="Compact"/>
            </w:pPr>
            <w:r>
              <w:t xml:space="preserve">Condenser plusieurs régimes dans un rapport</w:t>
            </w:r>
          </w:p>
        </w:tc>
      </w:tr>
      <w:tr>
        <w:tc>
          <w:tcPr/>
          <w:p>
            <w:pPr>
              <w:pStyle w:val="Compact"/>
            </w:pPr>
            <w:r>
              <w:t xml:space="preserve">Constante d’échelle dynamique</w:t>
            </w:r>
          </w:p>
        </w:tc>
        <w:tc>
          <w:tcPr/>
          <w:p>
            <w:pPr>
              <w:pStyle w:val="Compact"/>
            </w:pPr>
            <w:r>
              <w:t xml:space="preserve">Organiser un changement de régime par l’échelle</w:t>
            </w:r>
          </w:p>
        </w:tc>
      </w:tr>
      <w:tr>
        <w:tc>
          <w:tcPr/>
          <w:p>
            <w:pPr>
              <w:pStyle w:val="Compact"/>
            </w:pPr>
            <w:r>
              <w:t xml:space="preserve">Constante de régime générateur</w:t>
            </w:r>
          </w:p>
        </w:tc>
        <w:tc>
          <w:tcPr/>
          <w:p>
            <w:pPr>
              <w:pStyle w:val="Compact"/>
            </w:pPr>
            <w:r>
              <w:t xml:space="preserve">Fixer une échelle commune structurante</w:t>
            </w:r>
          </w:p>
        </w:tc>
      </w:tr>
      <w:tr>
        <w:tc>
          <w:tcPr/>
          <w:p>
            <w:pPr>
              <w:pStyle w:val="Compact"/>
            </w:pPr>
            <w:r>
              <w:t xml:space="preserve">Constante de différenciation fermionique</w:t>
            </w:r>
          </w:p>
        </w:tc>
        <w:tc>
          <w:tcPr/>
          <w:p>
            <w:pPr>
              <w:pStyle w:val="Compact"/>
            </w:pPr>
            <w:r>
              <w:t xml:space="preserve">Distribuer une échelle commune entre fermions</w:t>
            </w:r>
          </w:p>
        </w:tc>
      </w:tr>
      <w:tr>
        <w:tc>
          <w:tcPr/>
          <w:p>
            <w:pPr>
              <w:pStyle w:val="Compact"/>
            </w:pPr>
            <w:r>
              <w:t xml:space="preserve">Constante de hiérarchie d’échelle</w:t>
            </w:r>
          </w:p>
        </w:tc>
        <w:tc>
          <w:tcPr/>
          <w:p>
            <w:pPr>
              <w:pStyle w:val="Compact"/>
            </w:pPr>
            <w:r>
              <w:t xml:space="preserve">Exprimer un écart entre échelles</w:t>
            </w:r>
          </w:p>
        </w:tc>
      </w:tr>
      <w:tr>
        <w:tc>
          <w:tcPr/>
          <w:p>
            <w:pPr>
              <w:pStyle w:val="Compact"/>
            </w:pPr>
            <w:r>
              <w:t xml:space="preserve">Constante de raccordement effectif</w:t>
            </w:r>
          </w:p>
        </w:tc>
        <w:tc>
          <w:tcPr/>
          <w:p>
            <w:pPr>
              <w:pStyle w:val="Compact"/>
            </w:pPr>
            <w:r>
              <w:t xml:space="preserve">Relier une description effective à une description plus complète</w:t>
            </w:r>
          </w:p>
        </w:tc>
      </w:tr>
      <w:tr>
        <w:tc>
          <w:tcPr/>
          <w:p>
            <w:pPr>
              <w:pStyle w:val="Compact"/>
            </w:pPr>
            <w:r>
              <w:t xml:space="preserve">Constante de mélange de jauge</w:t>
            </w:r>
          </w:p>
        </w:tc>
        <w:tc>
          <w:tcPr/>
          <w:p>
            <w:pPr>
              <w:pStyle w:val="Compact"/>
            </w:pPr>
            <w:r>
              <w:t xml:space="preserve">Orienter un mélange entre champs de jauge</w:t>
            </w:r>
          </w:p>
        </w:tc>
      </w:tr>
      <w:tr>
        <w:tc>
          <w:tcPr/>
          <w:p>
            <w:pPr>
              <w:pStyle w:val="Compact"/>
            </w:pPr>
            <w:r>
              <w:t xml:space="preserve">Constante de fond cosmologique</w:t>
            </w:r>
          </w:p>
        </w:tc>
        <w:tc>
          <w:tcPr/>
          <w:p>
            <w:pPr>
              <w:pStyle w:val="Compact"/>
            </w:pPr>
            <w:r>
              <w:t xml:space="preserve">Structurer une dynamique globale de l’espace-temps</w:t>
            </w:r>
          </w:p>
        </w:tc>
      </w:tr>
      <w:tr>
        <w:tc>
          <w:tcPr/>
          <w:p>
            <w:pPr>
              <w:pStyle w:val="Compact"/>
            </w:pPr>
            <w:r>
              <w:t xml:space="preserve">Constante de phase oscillatoire</w:t>
            </w:r>
          </w:p>
        </w:tc>
        <w:tc>
          <w:tcPr/>
          <w:p>
            <w:pPr>
              <w:pStyle w:val="Compact"/>
            </w:pPr>
            <w:r>
              <w:t xml:space="preserve">Stabiliser un rythme de déphasage</w:t>
            </w:r>
          </w:p>
        </w:tc>
      </w:tr>
      <w:tr>
        <w:tc>
          <w:tcPr/>
          <w:p>
            <w:pPr>
              <w:pStyle w:val="Compact"/>
            </w:pPr>
            <w:r>
              <w:t xml:space="preserve">Constante de projection oscillatoire</w:t>
            </w:r>
          </w:p>
        </w:tc>
        <w:tc>
          <w:tcPr/>
          <w:p>
            <w:pPr>
              <w:pStyle w:val="Compact"/>
            </w:pPr>
            <w:r>
              <w:t xml:space="preserve">Stabiliser une relation entre bases quantiques</w:t>
            </w:r>
          </w:p>
        </w:tc>
      </w:tr>
      <w:tr>
        <w:tc>
          <w:tcPr/>
          <w:p>
            <w:pPr>
              <w:pStyle w:val="Compact"/>
            </w:pPr>
            <w:r>
              <w:t xml:space="preserve">Constante de phase d’asymétrie</w:t>
            </w:r>
          </w:p>
        </w:tc>
        <w:tc>
          <w:tcPr/>
          <w:p>
            <w:pPr>
              <w:pStyle w:val="Compact"/>
            </w:pPr>
            <w:r>
              <w:t xml:space="preserve">Stabiliser une phase de violation CP possible</w:t>
            </w:r>
          </w:p>
        </w:tc>
      </w:tr>
      <w:tr>
        <w:tc>
          <w:tcPr/>
          <w:p>
            <w:pPr>
              <w:pStyle w:val="Compact"/>
            </w:pPr>
            <w:r>
              <w:t xml:space="preserve">Constante de seuil spectral</w:t>
            </w:r>
          </w:p>
        </w:tc>
        <w:tc>
          <w:tcPr/>
          <w:p>
            <w:pPr>
              <w:pStyle w:val="Compact"/>
            </w:pPr>
            <w:r>
              <w:t xml:space="preserve">Fixer ou borner l’ancrage absolu d’un spectre</w:t>
            </w:r>
          </w:p>
        </w:tc>
      </w:tr>
    </w:tbl>
    <w:p>
      <w:pPr>
        <w:pStyle w:val="BodyText"/>
      </w:pPr>
      <w:r>
        <w:t xml:space="preserve">Cette typologie est une carte de travail. Certaines catégories seront probablement renommées, fusionnées ou subdivisées après de nouveaux cycles.</w:t>
      </w:r>
    </w:p>
    <w:bookmarkEnd w:id="42"/>
    <w:bookmarkStart w:id="48" w:name="degré-de-stabilisation-expérimentale"/>
    <w:p>
      <w:pPr>
        <w:pStyle w:val="Heading2"/>
      </w:pPr>
      <w:r>
        <w:t xml:space="preserve">9. Degré de stabilisation expérimentale</w:t>
      </w:r>
    </w:p>
    <w:p>
      <w:pPr>
        <w:pStyle w:val="FirstParagraph"/>
      </w:pPr>
      <w:r>
        <w:t xml:space="preserve">Le degré de stabilisation doit devenir un axe permanent. Une constante ne doit pas être seulement classée selon son rôle, mais aussi selon son niveau de maturité empirique.</w:t>
      </w:r>
    </w:p>
    <w:p>
      <w:pPr>
        <w:pStyle w:val="BodyText"/>
      </w:pPr>
      <w:r>
        <w:t xml:space="preserve">On distingue cinq niveaux.</w:t>
      </w:r>
    </w:p>
    <w:bookmarkStart w:id="43" w:name="fortement-stabilisée"/>
    <w:p>
      <w:pPr>
        <w:pStyle w:val="Heading3"/>
      </w:pPr>
      <w:r>
        <w:t xml:space="preserve">9.1 Fortement stabilisée</w:t>
      </w:r>
    </w:p>
    <w:p>
      <w:pPr>
        <w:pStyle w:val="FirstParagraph"/>
      </w:pPr>
      <w:r>
        <w:t xml:space="preserve">La grandeur est bien mesurée ou contrainte par plusieurs jeux de données cohérents.</w:t>
      </w:r>
    </w:p>
    <w:p>
      <w:pPr>
        <w:pStyle w:val="BodyText"/>
      </w:pPr>
      <w:r>
        <w:t xml:space="preserve">Exemples :</w:t>
      </w:r>
    </w:p>
    <w:p>
      <w:pPr>
        <w:pStyle w:val="BodyText"/>
      </w:pPr>
      <w:r>
        <w:t xml:space="preserve">[</w:t>
      </w:r>
      <w:r>
        <w:t xml:space="preserve"> </w:t>
      </w:r>
      <w:r>
        <w:t xml:space="preserve">,</w:t>
      </w:r>
      <w:r>
        <w:t xml:space="preserve">m</w:t>
      </w:r>
      <w:r>
        <w:rPr>
          <w:vertAlign w:val="superscript"/>
        </w:rPr>
        <w:t xml:space="preserve">2_{21},</w:t>
      </w:r>
      <w:r>
        <w:rPr>
          <w:vertAlign w:val="superscript"/>
        </w:rPr>
        <w:t xml:space="preserve">|</w:t>
      </w:r>
      <w:r>
        <w:rPr>
          <w:vertAlign w:val="superscript"/>
        </w:rPr>
        <w:t xml:space="preserve">m</w:t>
      </w:r>
      <w:r>
        <w:t xml:space="preserve">2_{3</w:t>
      </w:r>
      <w:r>
        <w:t xml:space="preserve">}|,</w:t>
      </w:r>
      <w:r>
        <w:rPr>
          <w:i/>
          <w:iCs/>
        </w:rPr>
        <w:t xml:space="preserve">{12},</w:t>
      </w:r>
      <w:r>
        <w:t xml:space="preserve">{13}</w:t>
      </w:r>
      <w:r>
        <w:t xml:space="preserve"> </w:t>
      </w:r>
      <w:r>
        <w:t xml:space="preserve">]</w:t>
      </w:r>
    </w:p>
    <w:bookmarkEnd w:id="43"/>
    <w:bookmarkStart w:id="44" w:name="partiellement-stabilisée"/>
    <w:p>
      <w:pPr>
        <w:pStyle w:val="Heading3"/>
      </w:pPr>
      <w:r>
        <w:t xml:space="preserve">9.2 Partiellement stabilisée</w:t>
      </w:r>
    </w:p>
    <w:p>
      <w:pPr>
        <w:pStyle w:val="FirstParagraph"/>
      </w:pPr>
      <w:r>
        <w:t xml:space="preserve">La grandeur est établie dans ses grandes lignes, mais une question fine reste ouverte.</w:t>
      </w:r>
    </w:p>
    <w:p>
      <w:pPr>
        <w:pStyle w:val="BodyText"/>
      </w:pPr>
      <w:r>
        <w:t xml:space="preserve">Exemple :</w:t>
      </w:r>
    </w:p>
    <w:p>
      <w:pPr>
        <w:pStyle w:val="BodyText"/>
      </w:pPr>
      <w:r>
        <w:t xml:space="preserve">[</w:t>
      </w:r>
      <w:r>
        <w:t xml:space="preserve"> </w:t>
      </w:r>
      <w:r>
        <w:t xml:space="preserve">_{23}</w:t>
      </w:r>
      <w:r>
        <w:t xml:space="preserve"> </w:t>
      </w:r>
      <w:r>
        <w:t xml:space="preserve">]</w:t>
      </w:r>
    </w:p>
    <w:p>
      <w:pPr>
        <w:pStyle w:val="BodyText"/>
      </w:pPr>
      <w:r>
        <w:t xml:space="preserve">dont la grandeur est connue, mais dont l’octant reste ouvert.</w:t>
      </w:r>
    </w:p>
    <w:bookmarkEnd w:id="44"/>
    <w:bookmarkStart w:id="45" w:name="en-cours-de-stabilisation"/>
    <w:p>
      <w:pPr>
        <w:pStyle w:val="Heading3"/>
      </w:pPr>
      <w:r>
        <w:t xml:space="preserve">9.3 En cours de stabilisation</w:t>
      </w:r>
    </w:p>
    <w:p>
      <w:pPr>
        <w:pStyle w:val="FirstParagraph"/>
      </w:pPr>
      <w:r>
        <w:t xml:space="preserve">La grandeur appartient clairement à la structure théorique, mais sa valeur expérimentale reste corrélée à d’autres paramètres ou dépendante des jeux de données.</w:t>
      </w:r>
    </w:p>
    <w:p>
      <w:pPr>
        <w:pStyle w:val="BodyText"/>
      </w:pPr>
      <w:r>
        <w:t xml:space="preserve">Exemple :</w:t>
      </w:r>
    </w:p>
    <w:p>
      <w:pPr>
        <w:pStyle w:val="BodyText"/>
      </w:pPr>
      <w:r>
        <w:t xml:space="preserve">[</w:t>
      </w:r>
      <w:r>
        <w:t xml:space="preserve"> </w:t>
      </w:r>
      <w:r>
        <w:t xml:space="preserve">_{</w:t>
      </w:r>
      <w:r>
        <w:t xml:space="preserve">}</w:t>
      </w:r>
      <w:r>
        <w:t xml:space="preserve"> </w:t>
      </w:r>
      <w:r>
        <w:t xml:space="preserve">]</w:t>
      </w:r>
    </w:p>
    <w:bookmarkEnd w:id="45"/>
    <w:bookmarkStart w:id="46" w:name="bornée-sans-détection-positive"/>
    <w:p>
      <w:pPr>
        <w:pStyle w:val="Heading3"/>
      </w:pPr>
      <w:r>
        <w:t xml:space="preserve">9.4 Bornée sans détection positive</w:t>
      </w:r>
    </w:p>
    <w:p>
      <w:pPr>
        <w:pStyle w:val="FirstParagraph"/>
      </w:pPr>
      <w:r>
        <w:t xml:space="preserve">La grandeur est contrainte par des bornes supérieures, mais pas mesurée comme valeur positive.</w:t>
      </w:r>
    </w:p>
    <w:p>
      <w:pPr>
        <w:pStyle w:val="BodyText"/>
      </w:pPr>
      <w:r>
        <w:t xml:space="preserve">Exemples :</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selon les voies expérimentales ou cosmologiques considérées.</w:t>
      </w:r>
    </w:p>
    <w:bookmarkEnd w:id="46"/>
    <w:bookmarkStart w:id="47" w:name="structurellement-ouverte"/>
    <w:p>
      <w:pPr>
        <w:pStyle w:val="Heading3"/>
      </w:pPr>
      <w:r>
        <w:t xml:space="preserve">9.5 Structurellement ouverte</w:t>
      </w:r>
    </w:p>
    <w:p>
      <w:pPr>
        <w:pStyle w:val="FirstParagraph"/>
      </w:pPr>
      <w:r>
        <w:t xml:space="preserve">La grandeur dépend d’une question non tranchée.</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 niveau ne signifie pas que la question est vague. Il signifie qu’elle n’est pas encore fermée expérimentalement ou théoriquement.</w:t>
      </w:r>
    </w:p>
    <w:bookmarkEnd w:id="47"/>
    <w:bookmarkEnd w:id="48"/>
    <w:bookmarkStart w:id="55" w:name="règles-de-prudence"/>
    <w:p>
      <w:pPr>
        <w:pStyle w:val="Heading2"/>
      </w:pPr>
      <w:r>
        <w:t xml:space="preserve">10. Règles de prudence</w:t>
      </w:r>
    </w:p>
    <w:p>
      <w:pPr>
        <w:pStyle w:val="FirstParagraph"/>
      </w:pPr>
      <w:r>
        <w:t xml:space="preserve">La méthode impose plusieurs règles de prudence.</w:t>
      </w:r>
    </w:p>
    <w:bookmarkStart w:id="49" w:name="ne-pas-confondre-stabilité-et-simplicité"/>
    <w:p>
      <w:pPr>
        <w:pStyle w:val="Heading3"/>
      </w:pPr>
      <w:r>
        <w:t xml:space="preserve">10.1 Ne pas confondre stabilité et simplicité</w:t>
      </w:r>
    </w:p>
    <w:p>
      <w:pPr>
        <w:pStyle w:val="FirstParagraph"/>
      </w:pPr>
      <w:r>
        <w:t xml:space="preserve">Une grandeur peut être stable et composite. Le rapport (m_p/m_e) est simple comme nombre sans dimension, mais stratifié comme objet physique.</w:t>
      </w:r>
    </w:p>
    <w:bookmarkEnd w:id="49"/>
    <w:bookmarkStart w:id="50" w:name="X1733b27058a11b5358716a41eac3ff7e130683b"/>
    <w:p>
      <w:pPr>
        <w:pStyle w:val="Heading3"/>
      </w:pPr>
      <w:r>
        <w:t xml:space="preserve">10.2 Ne pas confondre dimensionné et non physique</w:t>
      </w:r>
    </w:p>
    <w:p>
      <w:pPr>
        <w:pStyle w:val="FirstParagraph"/>
      </w:pPr>
      <w:r>
        <w:t xml:space="preserve">Une grandeur dimensionnée n’est pas moins physique. Elle exige simplement une formulation par rapports, échelles ou régimes.</w:t>
      </w:r>
    </w:p>
    <w:bookmarkEnd w:id="50"/>
    <w:bookmarkStart w:id="51" w:name="ne-pas-confondre-constante-et-observable"/>
    <w:p>
      <w:pPr>
        <w:pStyle w:val="Heading3"/>
      </w:pPr>
      <w:r>
        <w:t xml:space="preserve">10.3 Ne pas confondre constante et observable</w:t>
      </w:r>
    </w:p>
    <w:p>
      <w:pPr>
        <w:pStyle w:val="FirstParagraph"/>
      </w:pPr>
      <w:r>
        <w:t xml:space="preserve">Une constante peut être reconstruite à partir d’observables. L’observable n’est pas toujours la constante elle-même.</w:t>
      </w:r>
    </w:p>
    <w:bookmarkEnd w:id="51"/>
    <w:bookmarkStart w:id="52" w:name="X635afe16351e7426daf750d6aaf02ed2f8c48c7"/>
    <w:p>
      <w:pPr>
        <w:pStyle w:val="Heading3"/>
      </w:pPr>
      <w:r>
        <w:t xml:space="preserve">10.4 Ne pas confondre modèle efficace et origine physique</w:t>
      </w:r>
    </w:p>
    <w:p>
      <w:pPr>
        <w:pStyle w:val="FirstParagraph"/>
      </w:pPr>
      <w:r>
        <w:t xml:space="preserve">Une constante peut être efficace dans un modèle sans que son origine soit comprise. (</w:t>
      </w:r>
      <w:r>
        <w:t xml:space="preserve">) est le cas typique.</w:t>
      </w:r>
    </w:p>
    <w:bookmarkEnd w:id="52"/>
    <w:bookmarkStart w:id="53" w:name="X9d73957eeb3caad91da2a0d758dd7087ec17313"/>
    <w:p>
      <w:pPr>
        <w:pStyle w:val="Heading3"/>
      </w:pPr>
      <w:r>
        <w:t xml:space="preserve">10.5 Ne pas confondre présence théorique et stabilisation expérimentale</w:t>
      </w:r>
    </w:p>
    <w:p>
      <w:pPr>
        <w:pStyle w:val="FirstParagraph"/>
      </w:pPr>
      <w:r>
        <w:t xml:space="preserve">Un paramètre peut être nécessaire dans une structure théorique tout en restant mal déterminé.</w:t>
      </w:r>
    </w:p>
    <w:bookmarkEnd w:id="53"/>
    <w:bookmarkStart w:id="54" w:name="Xc7e5d12d5d3201d9e925efcd6f376fe893781bb"/>
    <w:p>
      <w:pPr>
        <w:pStyle w:val="Heading3"/>
      </w:pPr>
      <w:r>
        <w:t xml:space="preserve">10.6 Ne pas confondre absence de variation observée et statut absolu</w:t>
      </w:r>
    </w:p>
    <w:p>
      <w:pPr>
        <w:pStyle w:val="FirstParagraph"/>
      </w:pPr>
      <w:r>
        <w:t xml:space="preserve">Une grandeur peut être très stable dans les observations disponibles tout en restant dépendante d’un régime, d’une échelle ou d’un schéma.</w:t>
      </w:r>
    </w:p>
    <w:bookmarkEnd w:id="54"/>
    <w:bookmarkEnd w:id="55"/>
    <w:bookmarkStart w:id="56" w:name="forme-canonique-dune-fiche"/>
    <w:p>
      <w:pPr>
        <w:pStyle w:val="Heading2"/>
      </w:pPr>
      <w:r>
        <w:t xml:space="preserve">11. Forme canonique d’une fiche</w:t>
      </w:r>
    </w:p>
    <w:p>
      <w:pPr>
        <w:pStyle w:val="FirstParagraph"/>
      </w:pPr>
      <w:r>
        <w:t xml:space="preserve">Chaque fiche peut adopter la structure suivante :</w:t>
      </w:r>
    </w:p>
    <w:p>
      <w:pPr>
        <w:numPr>
          <w:ilvl w:val="0"/>
          <w:numId w:val="1001"/>
        </w:numPr>
      </w:pPr>
      <w:r>
        <w:t xml:space="preserve">Identification de la grandeur.</w:t>
      </w:r>
    </w:p>
    <w:p>
      <w:pPr>
        <w:numPr>
          <w:ilvl w:val="0"/>
          <w:numId w:val="1001"/>
        </w:numPr>
      </w:pPr>
      <w:r>
        <w:t xml:space="preserve">Statut physique.</w:t>
      </w:r>
    </w:p>
    <w:p>
      <w:pPr>
        <w:numPr>
          <w:ilvl w:val="0"/>
          <w:numId w:val="1001"/>
        </w:numPr>
      </w:pPr>
      <w:r>
        <w:t xml:space="preserve">Régime de définition.</w:t>
      </w:r>
    </w:p>
    <w:p>
      <w:pPr>
        <w:numPr>
          <w:ilvl w:val="0"/>
          <w:numId w:val="1001"/>
        </w:numPr>
      </w:pPr>
      <w:r>
        <w:t xml:space="preserve">Fonction dans le régime.</w:t>
      </w:r>
    </w:p>
    <w:p>
      <w:pPr>
        <w:numPr>
          <w:ilvl w:val="0"/>
          <w:numId w:val="1001"/>
        </w:numPr>
      </w:pPr>
      <w:r>
        <w:t xml:space="preserve">Mode d’accès expérimental ou observationnel.</w:t>
      </w:r>
    </w:p>
    <w:p>
      <w:pPr>
        <w:numPr>
          <w:ilvl w:val="0"/>
          <w:numId w:val="1001"/>
        </w:numPr>
      </w:pPr>
      <w:r>
        <w:t xml:space="preserve">Dépendance éventuelle d’échelle, de schéma ou de modèle.</w:t>
      </w:r>
    </w:p>
    <w:p>
      <w:pPr>
        <w:numPr>
          <w:ilvl w:val="0"/>
          <w:numId w:val="1001"/>
        </w:numPr>
      </w:pPr>
      <w:r>
        <w:t xml:space="preserve">Degré de stabilisation.</w:t>
      </w:r>
    </w:p>
    <w:p>
      <w:pPr>
        <w:numPr>
          <w:ilvl w:val="0"/>
          <w:numId w:val="1001"/>
        </w:numPr>
      </w:pPr>
      <w:r>
        <w:t xml:space="preserve">Lecture par la grille.</w:t>
      </w:r>
    </w:p>
    <w:p>
      <w:pPr>
        <w:numPr>
          <w:ilvl w:val="0"/>
          <w:numId w:val="1001"/>
        </w:numPr>
      </w:pPr>
      <w:r>
        <w:t xml:space="preserve">Catégorie proposée.</w:t>
      </w:r>
    </w:p>
    <w:p>
      <w:pPr>
        <w:numPr>
          <w:ilvl w:val="0"/>
          <w:numId w:val="1001"/>
        </w:numPr>
      </w:pPr>
      <w:r>
        <w:t xml:space="preserve">Formulation provisoire.</w:t>
      </w:r>
    </w:p>
    <w:p>
      <w:pPr>
        <w:numPr>
          <w:ilvl w:val="0"/>
          <w:numId w:val="1001"/>
        </w:numPr>
      </w:pPr>
      <w:r>
        <w:t xml:space="preserve">Fonction dans l’enquête générale.</w:t>
      </w:r>
    </w:p>
    <w:p>
      <w:pPr>
        <w:pStyle w:val="FirstParagraph"/>
      </w:pPr>
      <w:r>
        <w:t xml:space="preserve">Cette structure garantit que chaque cas reste comparable aux autres sans être forcé dans une catégorie préexistante.</w:t>
      </w:r>
    </w:p>
    <w:bookmarkEnd w:id="56"/>
    <w:bookmarkStart w:id="57" w:name="portée-de-la-méthode"/>
    <w:p>
      <w:pPr>
        <w:pStyle w:val="Heading2"/>
      </w:pPr>
      <w:r>
        <w:t xml:space="preserve">12. Portée de la méthode</w:t>
      </w:r>
    </w:p>
    <w:p>
      <w:pPr>
        <w:pStyle w:val="FirstParagraph"/>
      </w:pPr>
      <w:r>
        <w:t xml:space="preserve">La méthode permet de produire une cartographie des constantes selon leurs fonctions de régime. Elle est utile pour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Elle est particulièrement adaptée aux zones où le mot</w:t>
      </w:r>
      <w:r>
        <w:t xml:space="preserve"> </w:t>
      </w:r>
      <w:r>
        <w:t xml:space="preserve">“constante”</w:t>
      </w:r>
      <w:r>
        <w:t xml:space="preserve"> </w:t>
      </w:r>
      <w:r>
        <w:t xml:space="preserve">recouvre des objets très différents : couplages, masses, rapports, échelles, phases, coefficients effectifs, paramètres cosmologiques.</w:t>
      </w:r>
    </w:p>
    <w:bookmarkEnd w:id="57"/>
    <w:bookmarkStart w:id="58" w:name="limite-de-la-méthode"/>
    <w:p>
      <w:pPr>
        <w:pStyle w:val="Heading2"/>
      </w:pPr>
      <w:r>
        <w:t xml:space="preserve">13. Limite de la méthode</w:t>
      </w:r>
    </w:p>
    <w:p>
      <w:pPr>
        <w:pStyle w:val="FirstParagraph"/>
      </w:pPr>
      <w:r>
        <w:t xml:space="preserve">La méthode ne remplace pas les théories physiques. Elle ne calcule pas les constantes. Elle ne prétend pas expliquer leur origine ultime. Elle ne tranche pas les questions ouvertes comme la nature de l’énergie noire, la masse absolue des neutrinos ou la structure des Yukawa.</w:t>
      </w:r>
    </w:p>
    <w:p>
      <w:pPr>
        <w:pStyle w:val="BodyText"/>
      </w:pPr>
      <w:r>
        <w:t xml:space="preserve">Sa fonction est plus précise :</w:t>
      </w:r>
    </w:p>
    <w:p>
      <w:pPr>
        <w:pStyle w:val="BodyText"/>
      </w:pPr>
      <w:r>
        <w:rPr>
          <w:b/>
          <w:bCs/>
        </w:rPr>
        <w:t xml:space="preserve">rendre visibles les conditions dans lesquelles une grandeur devient traitable comme constante.</w:t>
      </w:r>
    </w:p>
    <w:p>
      <w:pPr>
        <w:pStyle w:val="BodyText"/>
      </w:pPr>
      <w:r>
        <w:t xml:space="preserve">Elle est donc une méthode de clarification, de classement et de lecture transversale.</w:t>
      </w:r>
    </w:p>
    <w:bookmarkEnd w:id="58"/>
    <w:bookmarkStart w:id="59" w:name="formule-de-travail"/>
    <w:p>
      <w:pPr>
        <w:pStyle w:val="Heading2"/>
      </w:pPr>
      <w:r>
        <w:t xml:space="preserve">14. Formule de travail</w:t>
      </w:r>
    </w:p>
    <w:p>
      <w:pPr>
        <w:pStyle w:val="FirstParagraph"/>
      </w:pPr>
      <w:r>
        <w:t xml:space="preserve">La formule de travail de la méthode est la suivante :</w:t>
      </w:r>
    </w:p>
    <w:p>
      <w:pPr>
        <w:pStyle w:val="BodyText"/>
      </w:pPr>
      <w:r>
        <w:rPr>
          <w:b/>
          <w:bCs/>
        </w:rPr>
        <w:t xml:space="preserve">Lire une constante, ce n’est pas seulement lire un nombre ; c’est identifier le régime dans lequel une grandeur devient robuste, comparable et fonctionnelle.</w:t>
      </w:r>
    </w:p>
    <w:p>
      <w:pPr>
        <w:pStyle w:val="BodyText"/>
      </w:pPr>
      <w:r>
        <w:t xml:space="preserve">Cette formule donne l’orientation générale de l’enquête.</w:t>
      </w:r>
    </w:p>
    <w:p>
      <w:pPr>
        <w:pStyle w:val="BodyText"/>
      </w:pPr>
      <w:r>
        <w:t xml:space="preserve">La question directrice devient :</w:t>
      </w:r>
    </w:p>
    <w:p>
      <w:pPr>
        <w:pStyle w:val="BodyText"/>
      </w:pPr>
      <w:r>
        <w:t xml:space="preserve">[</w:t>
      </w:r>
      <w:r>
        <w:t xml:space="preserve"> </w:t>
      </w:r>
      <w:r>
        <w:t xml:space="preserve"> </w:t>
      </w:r>
      <w:r>
        <w:t xml:space="preserve">]</w:t>
      </w:r>
    </w:p>
    <w:bookmarkEnd w:id="59"/>
    <w:bookmarkStart w:id="60" w:name="prochaine-étape"/>
    <w:p>
      <w:pPr>
        <w:pStyle w:val="Heading2"/>
      </w:pPr>
      <w:r>
        <w:t xml:space="preserve">15. Prochaine étape</w:t>
      </w:r>
    </w:p>
    <w:p>
      <w:pPr>
        <w:pStyle w:val="FirstParagraph"/>
      </w:pPr>
      <w:r>
        <w:t xml:space="preserve">La prochaine étape consiste à utiliser cette méthode pour décider du quatrième cycle.</w:t>
      </w:r>
    </w:p>
    <w:p>
      <w:pPr>
        <w:pStyle w:val="BodyText"/>
      </w:pPr>
      <w:r>
        <w:t xml:space="preserve">Trois directions sont possibles.</w:t>
      </w:r>
    </w:p>
    <w:p>
      <w:pPr>
        <w:pStyle w:val="BodyText"/>
      </w:pPr>
      <w:r>
        <w:t xml:space="preserve">Première direction : les paramètres cosmologiques, comme :</w:t>
      </w:r>
    </w:p>
    <w:p>
      <w:pPr>
        <w:pStyle w:val="BodyText"/>
      </w:pPr>
      <w:r>
        <w:t xml:space="preserve">[</w:t>
      </w:r>
      <w:r>
        <w:t xml:space="preserve"> </w:t>
      </w:r>
      <w:r>
        <w:t xml:space="preserve">H_0,</w:t>
      </w:r>
      <w:r>
        <w:t xml:space="preserve">_m,</w:t>
      </w:r>
      <w:r>
        <w:t xml:space="preserve">_b,</w:t>
      </w:r>
      <w:r>
        <w:t xml:space="preserve">_8,</w:t>
      </w:r>
      <w:r>
        <w:t xml:space="preserve">n_s,</w:t>
      </w:r>
      <w:r>
        <w:t xml:space="preserve">A_s</w:t>
      </w:r>
      <w:r>
        <w:t xml:space="preserve"> </w:t>
      </w:r>
      <w:r>
        <w:t xml:space="preserve">]</w:t>
      </w:r>
    </w:p>
    <w:p>
      <w:pPr>
        <w:pStyle w:val="BodyText"/>
      </w:pPr>
      <w:r>
        <w:t xml:space="preserve">Cette direction est intéressante mais délicate, car beaucoup de ces grandeurs sont des paramètres de modèle plutôt que des constantes physiques au sens strict.</w:t>
      </w:r>
    </w:p>
    <w:p>
      <w:pPr>
        <w:pStyle w:val="BodyText"/>
      </w:pPr>
      <w:r>
        <w:t xml:space="preserve">Deuxième direction : les constantes thermodynamiques et statistiques, comme :</w:t>
      </w:r>
    </w:p>
    <w:p>
      <w:pPr>
        <w:pStyle w:val="BodyText"/>
      </w:pPr>
      <w:r>
        <w:t xml:space="preserve">[</w:t>
      </w:r>
      <w:r>
        <w:t xml:space="preserve"> </w:t>
      </w:r>
      <w:r>
        <w:t xml:space="preserve">k_B,</w:t>
      </w:r>
      <w:r>
        <w:t xml:space="preserve">N_A,</w:t>
      </w:r>
      <w:r>
        <w:t xml:space="preserve">R</w:t>
      </w:r>
      <w:r>
        <w:t xml:space="preserve"> </w:t>
      </w:r>
      <w:r>
        <w:t xml:space="preserve">]</w:t>
      </w:r>
    </w:p>
    <w:p>
      <w:pPr>
        <w:pStyle w:val="BodyText"/>
      </w:pPr>
      <w:r>
        <w:t xml:space="preserve">Cette direction permettrait de tester la frontière entre constante physique, convention métrologique et grandeur de passage entre niveaux microscopique et macroscopique.</w:t>
      </w:r>
    </w:p>
    <w:p>
      <w:pPr>
        <w:pStyle w:val="BodyText"/>
      </w:pPr>
      <w:r>
        <w:t xml:space="preserve">Troisième direction : les constantes de symétrie et de texture, notamment les paramètres CKM du secteur quark. Cette direction prolongerait naturellement les angles PMNS et l’angle faible, en testant les constantes de mélange dans le secteur quark.</w:t>
      </w:r>
    </w:p>
    <w:p>
      <w:pPr>
        <w:pStyle w:val="BodyText"/>
      </w:pPr>
      <w:r>
        <w:t xml:space="preserve">La décision du quatrième cycle devra être prise en fonction de l’objectif suivant : renforcer la taxonomie là où elle est encore fragile, plutôt qu’accumuler des cas.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2026-07-09T06:25:19Z</dcterms:created>
  <dcterms:modified xsi:type="dcterms:W3CDTF">2026-07-09T06:25:19Z</dcterms:modified>
</cp:coreProperties>
</file>

<file path=docProps/custom.xml><?xml version="1.0" encoding="utf-8"?>
<Properties xmlns="http://schemas.openxmlformats.org/officeDocument/2006/custom-properties" xmlns:vt="http://schemas.openxmlformats.org/officeDocument/2006/docPropsVTypes"/>
</file>