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fiche-v-v0.1"/>
    <w:p>
      <w:pPr>
        <w:pStyle w:val="Heading1"/>
      </w:pPr>
      <w:r>
        <w:t xml:space="preserve">Fiche (v) v0.1</w:t>
      </w:r>
    </w:p>
    <w:bookmarkStart w:id="20" w:name="X8a7bc34fe1f70abe9b36bf8ac8f7b5609b116e7"/>
    <w:p>
      <w:pPr>
        <w:pStyle w:val="Heading2"/>
      </w:pPr>
      <w:r>
        <w:t xml:space="preserve">Valeur moyenne du champ de Higgs et stabilisation du régime électrofaible</w:t>
      </w:r>
    </w:p>
    <w:bookmarkEnd w:id="20"/>
    <w:bookmarkStart w:id="21" w:name="identification"/>
    <w:p>
      <w:pPr>
        <w:pStyle w:val="Heading2"/>
      </w:pPr>
      <w:r>
        <w:t xml:space="preserve">1. Identification</w:t>
      </w:r>
    </w:p>
    <w:p>
      <w:pPr>
        <w:pStyle w:val="FirstParagraph"/>
      </w:pPr>
      <w:r>
        <w:t xml:space="preserve">La grandeur (v) désigne la valeur moyenne dans le vide du champ de Higgs dans le Modèle standard. Elle fixe l’échelle électrofaible basse énergie et intervient directement dans la génération des masses des bosons (W) et (Z), ainsi que dans les masses des fermions via leurs couplages de Yukawa.</w:t>
      </w:r>
    </w:p>
    <w:p>
      <w:pPr>
        <w:pStyle w:val="BodyText"/>
      </w:pPr>
      <w:r>
        <w:t xml:space="preserve">Dans le Modèle standard, on écrit usuellement :</w:t>
      </w:r>
    </w:p>
    <w:p>
      <w:pPr>
        <w:pStyle w:val="BodyText"/>
      </w:pPr>
      <w:r>
        <w:t xml:space="preserve">[</w:t>
      </w:r>
      <w:r>
        <w:t xml:space="preserve"> </w:t>
      </w:r>
      <w:r>
        <w:t xml:space="preserve">=</w:t>
      </w:r>
      <w:r>
        <w:t xml:space="preserve"> </w:t>
      </w:r>
    </w:p>
    <w:p>
      <w:pPr>
        <w:pStyle w:val="BodyText"/>
      </w:pPr>
      <w:r>
        <w:t xml:space="preserve">]</w:t>
      </w:r>
    </w:p>
    <w:p>
      <w:pPr>
        <w:pStyle w:val="BodyText"/>
      </w:pPr>
      <w:r>
        <w:t xml:space="preserve">avec :</w:t>
      </w:r>
    </w:p>
    <w:p>
      <w:pPr>
        <w:pStyle w:val="BodyText"/>
      </w:pPr>
      <w:r>
        <w:t xml:space="preserve">[</w:t>
      </w:r>
      <w:r>
        <w:t xml:space="preserve"> </w:t>
      </w:r>
      <w:r>
        <w:t xml:space="preserve">v</w:t>
      </w:r>
      <w:r>
        <w:t xml:space="preserve"> </w:t>
      </w:r>
      <w:r>
        <w:t xml:space="preserve"> </w:t>
      </w:r>
      <w:r>
        <w:t xml:space="preserve"> </w:t>
      </w:r>
      <w:r>
        <w:t xml:space="preserve">]</w:t>
      </w:r>
    </w:p>
    <w:p>
      <w:pPr>
        <w:pStyle w:val="BodyText"/>
      </w:pPr>
      <w:r>
        <w:t xml:space="preserve">Le Particle Data Group indique que, lorsque le potentiel de Higgs conduit à une valeur moyenne non nulle du champ, cette valeur (v</w:t>
      </w:r>
      <w:r>
        <w:t xml:space="preserve"> </w:t>
      </w:r>
      <w:r>
        <w:t xml:space="preserve"> </w:t>
      </w:r>
      <w:r>
        <w:t xml:space="preserve">) brise la symétrie électrofaible vers la symétrie électromagnétique résiduelle (U(1)_{</w:t>
      </w:r>
      <w:r>
        <w:t xml:space="preserve">}).</w:t>
      </w:r>
    </w:p>
    <w:p>
      <w:pPr>
        <w:pStyle w:val="BodyText"/>
      </w:pPr>
      <w:r>
        <w:t xml:space="preserve">Cette grandeur est dimensionnée. Sa valeur numérique dépend donc des unités, mais son rôle physique est robuste : elle fixe l’échelle du régime électrofaible brisé.</w:t>
      </w:r>
    </w:p>
    <w:bookmarkEnd w:id="21"/>
    <w:bookmarkStart w:id="22" w:name="statut-physique"/>
    <w:p>
      <w:pPr>
        <w:pStyle w:val="Heading2"/>
      </w:pPr>
      <w:r>
        <w:t xml:space="preserve">2. Statut physique</w:t>
      </w:r>
    </w:p>
    <w:p>
      <w:pPr>
        <w:pStyle w:val="FirstParagraph"/>
      </w:pPr>
      <w:r>
        <w:t xml:space="preserve">(v) n’est pas une masse de particule. Ce n’est pas non plus un simple couplage. C’est une valeur de fond du champ de Higgs dans le vide, c’est-à-dire une valeur autour de laquelle le champ est stabilisé dans le régime électrofaible brisé.</w:t>
      </w:r>
    </w:p>
    <w:p>
      <w:pPr>
        <w:pStyle w:val="BodyText"/>
      </w:pPr>
      <w:r>
        <w:t xml:space="preserve">Dans le Modèle standard minimal, le champ de Higgs est un doublet scalaire complexe. Lorsque le potentiel du champ prend une forme permettant une valeur moyenne non nulle, le vide n’est plus invariant sous toute la symétrie électrofaible (SU(2)_L</w:t>
      </w:r>
      <w:r>
        <w:t xml:space="preserve"> </w:t>
      </w:r>
      <w:r>
        <w:t xml:space="preserve">U(1)</w:t>
      </w:r>
      <w:r>
        <w:rPr>
          <w:i/>
          <w:iCs/>
        </w:rPr>
        <w:t xml:space="preserve">Y). Le régime physique observable à basse énergie conserve seulement la symétrie électromagnétique (U(1)</w:t>
      </w:r>
      <w:r>
        <w:t xml:space="preserve">{</w:t>
      </w:r>
      <w:r>
        <w:t xml:space="preserve">}).</w:t>
      </w:r>
    </w:p>
    <w:p>
      <w:pPr>
        <w:pStyle w:val="BodyText"/>
      </w:pPr>
      <w:r>
        <w:t xml:space="preserve">La grandeur (v) est donc un excellent cas pour notre enquête : elle n’est pas seulement une constante insérée dans une formule. Elle marque l’installation d’un régime.</w:t>
      </w:r>
    </w:p>
    <w:bookmarkEnd w:id="22"/>
    <w:bookmarkStart w:id="23" w:name="rôle-dans-les-masses-électrofaibles"/>
    <w:p>
      <w:pPr>
        <w:pStyle w:val="Heading2"/>
      </w:pPr>
      <w:r>
        <w:t xml:space="preserve">3. Rôle dans les masses électrofaibles</w:t>
      </w:r>
    </w:p>
    <w:p>
      <w:pPr>
        <w:pStyle w:val="FirstParagraph"/>
      </w:pPr>
      <w:r>
        <w:t xml:space="preserve">Après la brisure électrofaible, les bosons (W) et (Z) acquièrent une masse. Au niveau arbre, le Modèle standard donne :</w:t>
      </w:r>
    </w:p>
    <w:p>
      <w:pPr>
        <w:pStyle w:val="BodyText"/>
      </w:pPr>
      <w:r>
        <w:t xml:space="preserve">[</w:t>
      </w:r>
      <w:r>
        <w:t xml:space="preserve"> </w:t>
      </w:r>
      <w:r>
        <w:t xml:space="preserve">M_W =</w:t>
      </w:r>
      <w:r>
        <w:t xml:space="preserve"> </w:t>
      </w:r>
      <w:r>
        <w:t xml:space="preserve"> </w:t>
      </w:r>
      <w:r>
        <w:t xml:space="preserve">]</w:t>
      </w:r>
    </w:p>
    <w:p>
      <w:pPr>
        <w:pStyle w:val="BodyText"/>
      </w:pPr>
      <w:r>
        <w:t xml:space="preserve">[</w:t>
      </w:r>
      <w:r>
        <w:t xml:space="preserve"> </w:t>
      </w:r>
      <w:r>
        <w:t xml:space="preserve">M_Z =</w:t>
      </w:r>
      <w:r>
        <w:t xml:space="preserve"> </w:t>
      </w:r>
      <w:r>
        <w:t xml:space="preserve"> </w:t>
      </w:r>
      <w:r>
        <w:t xml:space="preserve">]</w:t>
      </w:r>
    </w:p>
    <w:p>
      <w:pPr>
        <w:pStyle w:val="BodyText"/>
      </w:pPr>
      <w:r>
        <w:t xml:space="preserve">[</w:t>
      </w:r>
      <w:r>
        <w:t xml:space="preserve"> </w:t>
      </w:r>
      <w:r>
        <w:t xml:space="preserve">M_</w:t>
      </w:r>
      <w:r>
        <w:t xml:space="preserve">= 0</w:t>
      </w:r>
      <w:r>
        <w:t xml:space="preserve"> </w:t>
      </w:r>
      <w:r>
        <w:t xml:space="preserve">]</w:t>
      </w:r>
    </w:p>
    <w:p>
      <w:pPr>
        <w:pStyle w:val="BodyText"/>
      </w:pPr>
      <w:r>
        <w:t xml:space="preserve">Le photon reste donc sans masse, tandis que les bosons faibles deviennent massifs. Le PDG présente explicitement ces relations dans son exposé du modèle électrofaible.</w:t>
      </w:r>
    </w:p>
    <w:p>
      <w:pPr>
        <w:pStyle w:val="BodyText"/>
      </w:pPr>
      <w:r>
        <w:t xml:space="preserve">Pour les fermions chargés, (v) intervient avec les couplages de Yukawa :</w:t>
      </w:r>
    </w:p>
    <w:p>
      <w:pPr>
        <w:pStyle w:val="BodyText"/>
      </w:pPr>
      <w:r>
        <w:t xml:space="preserve">[</w:t>
      </w:r>
      <w:r>
        <w:t xml:space="preserve"> </w:t>
      </w:r>
      <w:r>
        <w:t xml:space="preserve">m_f =</w:t>
      </w:r>
      <w:r>
        <w:t xml:space="preserve"> </w:t>
      </w:r>
      <w:r>
        <w:t xml:space="preserve"> </w:t>
      </w:r>
      <w:r>
        <w:t xml:space="preserve">]</w:t>
      </w:r>
    </w:p>
    <w:p>
      <w:pPr>
        <w:pStyle w:val="BodyText"/>
      </w:pPr>
      <w:r>
        <w:t xml:space="preserve">La masse de l’électron étudiée dans la fiche précédente s’écrit ainsi :</w:t>
      </w:r>
    </w:p>
    <w:p>
      <w:pPr>
        <w:pStyle w:val="BodyText"/>
      </w:pPr>
      <w:r>
        <w:t xml:space="preserve">[</w:t>
      </w:r>
      <w:r>
        <w:t xml:space="preserve"> </w:t>
      </w:r>
      <w:r>
        <w:t xml:space="preserve">m_e =</w:t>
      </w:r>
      <w:r>
        <w:t xml:space="preserve"> </w:t>
      </w:r>
      <w:r>
        <w:t xml:space="preserve"> </w:t>
      </w:r>
      <w:r>
        <w:t xml:space="preserve">]</w:t>
      </w:r>
    </w:p>
    <w:p>
      <w:pPr>
        <w:pStyle w:val="BodyText"/>
      </w:pPr>
      <w:r>
        <w:t xml:space="preserve">La fiche (v) se situe donc en amont de la fiche (m_e). Elle étudie la grandeur qui rend possible le statut basse énergie des masses fermioniques dans le Modèle standard.</w:t>
      </w:r>
    </w:p>
    <w:bookmarkEnd w:id="23"/>
    <w:bookmarkStart w:id="24" w:name="relation-avec-la-constante-de-fermi"/>
    <w:p>
      <w:pPr>
        <w:pStyle w:val="Heading2"/>
      </w:pPr>
      <w:r>
        <w:t xml:space="preserve">4. Relation avec la constante de Fermi</w:t>
      </w:r>
    </w:p>
    <w:p>
      <w:pPr>
        <w:pStyle w:val="FirstParagraph"/>
      </w:pPr>
      <w:r>
        <w:t xml:space="preserve">La valeur de (v) est aussi reliée à la constante de Fermi (G_F), mesurée notamment à partir de la désintégration du muon. À basse énergie, pour des impulsions faibles devant (M_W), l’interaction faible peut être décrite par une interaction effective à quatre fermions. Le PDG donne la relation au niveau arbre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soit :</w:t>
      </w:r>
    </w:p>
    <w:p>
      <w:pPr>
        <w:pStyle w:val="BodyText"/>
      </w:pPr>
      <w:r>
        <w:t xml:space="preserve">[</w:t>
      </w:r>
      <w:r>
        <w:t xml:space="preserve"> </w:t>
      </w:r>
      <w:r>
        <w:t xml:space="preserve">v =</w:t>
      </w:r>
      <w:r>
        <w:t xml:space="preserve"> </w:t>
      </w:r>
      <w:r>
        <w:t xml:space="preserve">(</w:t>
      </w:r>
      <w:r>
        <w:t xml:space="preserve">G_F</w:t>
      </w:r>
      <w:r>
        <w:t xml:space="preserve">)^{-1/2}</w:t>
      </w:r>
      <w:r>
        <w:t xml:space="preserve"> </w:t>
      </w:r>
      <w:r>
        <w:t xml:space="preserve">]</w:t>
      </w:r>
    </w:p>
    <w:p>
      <w:pPr>
        <w:pStyle w:val="BodyText"/>
      </w:pPr>
      <w:r>
        <w:t xml:space="preserve">Cette relation fait de (v) une grandeur charnière entre le régime électrofaible fondamental et la phénoménologie basse énergie des interactions faibles.</w:t>
      </w:r>
    </w:p>
    <w:p>
      <w:pPr>
        <w:pStyle w:val="BodyText"/>
      </w:pPr>
      <w:r>
        <w:t xml:space="preserve">La valeur de (v) n’est donc pas simplement postulée comme un nombre abstrait. Elle est articulée à des mesures de précision, aux masses des bosons électrofaibles et à la structure effective des interactions faibles à basse énergie.</w:t>
      </w:r>
    </w:p>
    <w:bookmarkEnd w:id="24"/>
    <w:bookmarkStart w:id="25" w:name="régime-électrofaible-brisé"/>
    <w:p>
      <w:pPr>
        <w:pStyle w:val="Heading2"/>
      </w:pPr>
      <w:r>
        <w:t xml:space="preserve">5. Régime électrofaible brisé</w:t>
      </w:r>
    </w:p>
    <w:p>
      <w:pPr>
        <w:pStyle w:val="FirstParagraph"/>
      </w:pPr>
      <w:r>
        <w:t xml:space="preserve">Le rôle central de (v) est de stabiliser le régime électrofaible brisé.</w:t>
      </w:r>
    </w:p>
    <w:p>
      <w:pPr>
        <w:pStyle w:val="BodyText"/>
      </w:pPr>
      <w:r>
        <w:t xml:space="preserve">Avant ce régime, les champs électrofaibles sont décrits dans une organisation symétrique différente. Après l’installation de (v), la théorie se réécrit autour d’un vide structuré : les bosons faibles deviennent massifs, le photon reste sans masse, les fermions chargés acquièrent des masses via les Yukawa, et l’électromagnétisme devient l’interaction résiduelle pertinente à basse énergie.</w:t>
      </w:r>
    </w:p>
    <w:p>
      <w:pPr>
        <w:pStyle w:val="BodyText"/>
      </w:pPr>
      <w:r>
        <w:t xml:space="preserve">La grandeur (v) n’est donc pas seulement une constante du Modèle standard. Elle est une constante de structuration. Elle fixe l’échelle à partir de laquelle plusieurs autres constantes effectives deviennent physiquement lisibles : (m_e), (m_</w:t>
      </w:r>
      <w:r>
        <w:t xml:space="preserve">), (m_</w:t>
      </w:r>
      <w:r>
        <w:t xml:space="preserve">), les masses des quarks, (M_W), (M_Z), et les couplages effectifs faibles.</w:t>
      </w:r>
    </w:p>
    <w:p>
      <w:pPr>
        <w:pStyle w:val="BodyText"/>
      </w:pPr>
      <w:r>
        <w:t xml:space="preserve">Dans notre grille, (v) doit être classée comme une constante de régime générateur : elle ne décrit pas seulement un régime ; elle contribue à rendre ce régime définissable.</w:t>
      </w:r>
    </w:p>
    <w:bookmarkEnd w:id="25"/>
    <w:bookmarkStart w:id="26" w:name="X1b4e4669dea4783d00ff674e53a92d4550aa714"/>
    <w:p>
      <w:pPr>
        <w:pStyle w:val="Heading2"/>
      </w:pPr>
      <w:r>
        <w:t xml:space="preserve">6. Température électrofaible et histoire cosmologique</w:t>
      </w:r>
    </w:p>
    <w:p>
      <w:pPr>
        <w:pStyle w:val="FirstParagraph"/>
      </w:pPr>
      <w:r>
        <w:t xml:space="preserve">Dans l’histoire thermique de l’univers, le régime électrofaible brisé correspond à une transition ou, dans le Modèle standard minimal avec la masse physique du Higgs, à un crossover. Les simulations sur réseau de D’Onofrio et Rummukainen indiquent que, pour les paramètres physiques du Modèle standard, la restauration/brisure électrofaible se présente comme un crossover lisse, avec une température caractéristique :</w:t>
      </w:r>
    </w:p>
    <w:p>
      <w:pPr>
        <w:pStyle w:val="BodyText"/>
      </w:pPr>
      <w:r>
        <w:t xml:space="preserve">[</w:t>
      </w:r>
      <w:r>
        <w:t xml:space="preserve"> </w:t>
      </w:r>
      <w:r>
        <w:t xml:space="preserve">T_c = 159{,}5</w:t>
      </w:r>
      <w:r>
        <w:t xml:space="preserve"> </w:t>
      </w:r>
      <w:r>
        <w:t xml:space="preserve">5 </w:t>
      </w:r>
      <w:r>
        <w:t xml:space="preserve"> </w:t>
      </w:r>
      <w:r>
        <w:t xml:space="preserve">]</w:t>
      </w:r>
    </w:p>
    <w:p>
      <w:pPr>
        <w:pStyle w:val="BodyText"/>
      </w:pPr>
      <w:r>
        <w:t xml:space="preserve">Ce point est important : l’échelle (v</w:t>
      </w:r>
      <w:r>
        <w:t xml:space="preserve"> </w:t>
      </w:r>
      <w:r>
        <w:t xml:space="preserve"> </w:t>
      </w:r>
      <w:r>
        <w:t xml:space="preserve">) et la température caractéristique du crossover électrofaible ne sont pas exactement la même chose. (v) est la valeur moyenne du champ dans le vide à basse température ; (T_c) désigne une température caractéristique dans le plasma primordial où le régime électrofaible change de comportement.</w:t>
      </w:r>
    </w:p>
    <w:p>
      <w:pPr>
        <w:pStyle w:val="BodyText"/>
      </w:pPr>
      <w:r>
        <w:t xml:space="preserve">Pour notre enquête, cette distinction est précieuse. Elle évite de confondre une échelle de champ, une température cosmologique et une masse de particule. (v) est une grandeur de structuration du régime électrofaible, mais son installation cosmologique dépend de la dynamique thermique du champ de Higgs.</w:t>
      </w:r>
    </w:p>
    <w:bookmarkEnd w:id="26"/>
    <w:bookmarkStart w:id="27" w:name="X08de553b9aa0a801f4a846909bbfb90935528a5"/>
    <w:p>
      <w:pPr>
        <w:pStyle w:val="Heading2"/>
      </w:pPr>
      <w:r>
        <w:t xml:space="preserve">7.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(v)</w:t>
            </w:r>
          </w:p>
        </w:tc>
      </w:tr>
      <w:tr>
        <w:tc>
          <w:tcPr/>
          <w:p>
            <w:pPr>
              <w:pStyle w:val="Compact"/>
            </w:pPr>
            <w:r>
              <w:t xml:space="preserve">Type de grandeur</w:t>
            </w:r>
          </w:p>
        </w:tc>
        <w:tc>
          <w:tcPr/>
          <w:p>
            <w:pPr>
              <w:pStyle w:val="Compact"/>
            </w:pPr>
            <w:r>
              <w:t xml:space="preserve">Valeur moyenne du champ de Higgs dans le vide</w:t>
            </w:r>
          </w:p>
        </w:tc>
      </w:tr>
      <w:tr>
        <w:tc>
          <w:tcPr/>
          <w:p>
            <w:pPr>
              <w:pStyle w:val="Compact"/>
            </w:pPr>
            <w:r>
              <w:t xml:space="preserve">Statut dimensionnel</w:t>
            </w:r>
          </w:p>
        </w:tc>
        <w:tc>
          <w:tcPr/>
          <w:p>
            <w:pPr>
              <w:pStyle w:val="Compact"/>
            </w:pPr>
            <w:r>
              <w:t xml:space="preserve">Grandeur dimensionnée, exprimée en énergie</w:t>
            </w:r>
          </w:p>
        </w:tc>
      </w:tr>
      <w:tr>
        <w:tc>
          <w:tcPr/>
          <w:p>
            <w:pPr>
              <w:pStyle w:val="Compact"/>
            </w:pPr>
            <w:r>
              <w:t xml:space="preserve">Valeur basse énergie</w:t>
            </w:r>
          </w:p>
        </w:tc>
        <w:tc>
          <w:tcPr/>
          <w:p>
            <w:pPr>
              <w:pStyle w:val="Compact"/>
            </w:pPr>
            <w:r>
              <w:t xml:space="preserve">(v</w:t>
            </w:r>
            <w:r>
              <w:t xml:space="preserve"> </w:t>
            </w:r>
            <w:r>
              <w:t xml:space="preserve"> </w:t>
            </w:r>
            <w:r>
              <w:t xml:space="preserve">)</w:t>
            </w:r>
          </w:p>
        </w:tc>
      </w:tr>
      <w:tr>
        <w:tc>
          <w:tcPr/>
          <w:p>
            <w:pPr>
              <w:pStyle w:val="Compact"/>
            </w:pPr>
            <w:r>
              <w:t xml:space="preserve">Relation avec (G_F)</w:t>
            </w:r>
          </w:p>
        </w:tc>
        <w:tc>
          <w:tcPr/>
          <w:p>
            <w:pPr>
              <w:pStyle w:val="Compact"/>
            </w:pPr>
            <w:r>
              <w:t xml:space="preserve">(v = (</w:t>
            </w:r>
            <w:r>
              <w:t xml:space="preserve">G_F)^{-1/2}), au niveau arbre</w:t>
            </w:r>
          </w:p>
        </w:tc>
      </w:tr>
      <w:tr>
        <w:tc>
          <w:tcPr/>
          <w:p>
            <w:pPr>
              <w:pStyle w:val="Compact"/>
            </w:pPr>
            <w:r>
              <w:t xml:space="preserve">Régime requis</w:t>
            </w:r>
          </w:p>
        </w:tc>
        <w:tc>
          <w:tcPr/>
          <w:p>
            <w:pPr>
              <w:pStyle w:val="Compact"/>
            </w:pPr>
            <w:r>
              <w:t xml:space="preserve">Régime électrofaible brisé</w:t>
            </w:r>
          </w:p>
        </w:tc>
      </w:tr>
      <w:tr>
        <w:tc>
          <w:tcPr/>
          <w:p>
            <w:pPr>
              <w:pStyle w:val="Compact"/>
            </w:pPr>
            <w:r>
              <w:t xml:space="preserve">Rôle physique</w:t>
            </w:r>
          </w:p>
        </w:tc>
        <w:tc>
          <w:tcPr/>
          <w:p>
            <w:pPr>
              <w:pStyle w:val="Compact"/>
            </w:pPr>
            <w:r>
              <w:t xml:space="preserve">Fixe l’échelle des masses faibles et des masses fermioniques</w:t>
            </w:r>
          </w:p>
        </w:tc>
      </w:tr>
      <w:tr>
        <w:tc>
          <w:tcPr/>
          <w:p>
            <w:pPr>
              <w:pStyle w:val="Compact"/>
            </w:pPr>
            <w:r>
              <w:t xml:space="preserve">Bosons concernés</w:t>
            </w:r>
          </w:p>
        </w:tc>
        <w:tc>
          <w:tcPr/>
          <w:p>
            <w:pPr>
              <w:pStyle w:val="Compact"/>
            </w:pPr>
            <w:r>
              <w:t xml:space="preserve">(W), (Z), photon</w:t>
            </w:r>
          </w:p>
        </w:tc>
      </w:tr>
      <w:tr>
        <w:tc>
          <w:tcPr/>
          <w:p>
            <w:pPr>
              <w:pStyle w:val="Compact"/>
            </w:pPr>
            <w:r>
              <w:t xml:space="preserve">Fermions concernés</w:t>
            </w:r>
          </w:p>
        </w:tc>
        <w:tc>
          <w:tcPr/>
          <w:p>
            <w:pPr>
              <w:pStyle w:val="Compact"/>
            </w:pPr>
            <w:r>
              <w:t xml:space="preserve">Fermions massifs via (m_f = y_f v/</w:t>
            </w:r>
            <w:r>
              <w:t xml:space="preserve">)</w:t>
            </w:r>
          </w:p>
        </w:tc>
      </w:tr>
      <w:tr>
        <w:tc>
          <w:tcPr/>
          <w:p>
            <w:pPr>
              <w:pStyle w:val="Compact"/>
            </w:pPr>
            <w:r>
              <w:t xml:space="preserve">Statut dans la grille</w:t>
            </w:r>
          </w:p>
        </w:tc>
        <w:tc>
          <w:tcPr/>
          <w:p>
            <w:pPr>
              <w:pStyle w:val="Compact"/>
            </w:pPr>
            <w:r>
              <w:t xml:space="preserve">Constante de régime générateur</w:t>
            </w:r>
          </w:p>
        </w:tc>
      </w:tr>
      <w:tr>
        <w:tc>
          <w:tcPr/>
          <w:p>
            <w:pPr>
              <w:pStyle w:val="Compact"/>
            </w:pPr>
            <w:r>
              <w:t xml:space="preserve">Question centrale</w:t>
            </w:r>
          </w:p>
        </w:tc>
        <w:tc>
          <w:tcPr/>
          <w:p>
            <w:pPr>
              <w:pStyle w:val="Compact"/>
            </w:pPr>
            <w:r>
              <w:t xml:space="preserve">Comment une valeur de fond du champ de Higgs stabilise-t-elle le régime électrofaible basse énergie ?</w:t>
            </w:r>
          </w:p>
        </w:tc>
      </w:tr>
    </w:tbl>
    <w:bookmarkEnd w:id="27"/>
    <w:bookmarkStart w:id="28" w:name="formulation-provisoire"/>
    <w:p>
      <w:pPr>
        <w:pStyle w:val="Heading2"/>
      </w:pPr>
      <w:r>
        <w:t xml:space="preserve">8. Formulation provisoire</w:t>
      </w:r>
    </w:p>
    <w:p>
      <w:pPr>
        <w:pStyle w:val="FirstParagraph"/>
      </w:pPr>
      <w:r>
        <w:t xml:space="preserve">La valeur moyenne du champ de Higgs (v) peut être comprise comme une constante effective stabilisée de structuration du régime électrofaible. Elle fixe l’échelle à partir de laquelle les masses faibles et les masses fermioniques prennent leur statut basse énergie. Sa constance n’est pas seulement celle d’une valeur numérique ; elle est celle d’un fond physique autour duquel se réorganise la description des particules du Modèle standard.</w:t>
      </w:r>
    </w:p>
    <w:p>
      <w:pPr>
        <w:pStyle w:val="BodyText"/>
      </w:pPr>
      <w:r>
        <w:t xml:space="preserve">La question pertinente devient donc :</w:t>
      </w:r>
    </w:p>
    <w:p>
      <w:pPr>
        <w:pStyle w:val="BodyText"/>
      </w:pPr>
      <w:r>
        <w:rPr>
          <w:b/>
          <w:bCs/>
        </w:rPr>
        <w:t xml:space="preserve">À quelles conditions la valeur moyenne du champ de Higgs peut-elle être traitée comme une constante stabilisée, et comment cette valeur rend-elle définissables les masses et les interactions du régime électrofaible brisé ?</w:t>
      </w:r>
    </w:p>
    <w:bookmarkEnd w:id="28"/>
    <w:bookmarkStart w:id="29" w:name="X26ce6ccc34ddb298f9b279c2893ef37e6145b39"/>
    <w:p>
      <w:pPr>
        <w:pStyle w:val="Heading2"/>
      </w:pPr>
      <w:r>
        <w:t xml:space="preserve">9. Fonction de cette fiche dans l’enquête générale</w:t>
      </w:r>
    </w:p>
    <w:p>
      <w:pPr>
        <w:pStyle w:val="FirstParagraph"/>
      </w:pPr>
      <w:r>
        <w:t xml:space="preserve">La fiche (v) ouvre le second cycle en remontant d’une grandeur dérivée vers une grandeur structurante. La fiche (m_e) avait montré que la masse de l’électron dépend du régime électrofaible brisé. La fiche (v) montre que ce régime possède lui-même une grandeur de stabilisation.</w:t>
      </w:r>
    </w:p>
    <w:p>
      <w:pPr>
        <w:pStyle w:val="BodyText"/>
      </w:pPr>
      <w:r>
        <w:t xml:space="preserve">Elle introduit une nouvelle catégorie :</w:t>
      </w:r>
    </w:p>
    <w:p>
      <w:pPr>
        <w:pStyle w:val="BodyText"/>
      </w:pPr>
      <w:r>
        <w:rPr>
          <w:b/>
          <w:bCs/>
        </w:rPr>
        <w:t xml:space="preserve">constante de régime générateur.</w:t>
      </w:r>
    </w:p>
    <w:p>
      <w:pPr>
        <w:pStyle w:val="BodyText"/>
      </w:pPr>
      <w:r>
        <w:t xml:space="preserve">Cette catégorie désigne une grandeur qui ne se contente pas d’être définie dans un régime, mais qui contribue à rendre ce régime physiquement organisé. (v) n’est pas seulement une valeur parmi d’autres ; elle est le point d’ancrage autour duquel deviennent lisibles les masses faibles, les masses fermioniques et la séparation basse énergie entre interaction électromagnétique et interaction faible.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2026-07-08T17:29:49Z</dcterms:created>
  <dcterms:modified xsi:type="dcterms:W3CDTF">2026-07-08T17:29:49Z</dcterms:modified>
</cp:coreProperties>
</file>

<file path=docProps/custom.xml><?xml version="1.0" encoding="utf-8"?>
<Properties xmlns="http://schemas.openxmlformats.org/officeDocument/2006/custom-properties" xmlns:vt="http://schemas.openxmlformats.org/officeDocument/2006/docPropsVTypes"/>
</file>