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carte-consolidée-v0.7"/>
    <w:p>
      <w:pPr>
        <w:pStyle w:val="Heading1"/>
      </w:pPr>
      <w:r>
        <w:t xml:space="preserve">Carte consolidée v0.7</w:t>
      </w:r>
    </w:p>
    <w:bookmarkStart w:id="20" w:name="Xf7aac271e321d0889b98a21c3dddf1340d14796"/>
    <w:p>
      <w:pPr>
        <w:pStyle w:val="Heading2"/>
      </w:pPr>
      <w:r>
        <w:t xml:space="preserve">Familles, fonctions transversales et architectures après les tests de Seuil et de Fond</w:t>
      </w:r>
    </w:p>
    <w:bookmarkEnd w:id="20"/>
    <w:bookmarkStart w:id="21" w:name="fonction-de-cette-version"/>
    <w:p>
      <w:pPr>
        <w:pStyle w:val="Heading2"/>
      </w:pPr>
      <w:r>
        <w:t xml:space="preserve">1. Fonction de cette version</w:t>
      </w:r>
    </w:p>
    <w:p>
      <w:pPr>
        <w:pStyle w:val="FirstParagraph"/>
      </w:pPr>
      <w:r>
        <w:t xml:space="preserve">La carte v0.7 intègre deux corrections importantes.</w:t>
      </w:r>
    </w:p>
    <w:p>
      <w:pPr>
        <w:pStyle w:val="BodyText"/>
      </w:pPr>
      <w:r>
        <w:t xml:space="preserve">La première correction concerne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qui n’est plus une famille supérieure. Le test de (M_W), de (</w:t>
      </w:r>
      <w:r>
        <w:t xml:space="preserve">_{</w:t>
      </w:r>
      <w:r>
        <w:t xml:space="preserve">}) et de la masse absolue des neutrinos a montré que le seuil fonctionne le plus souvent comme une fonction de limite, de borne, d’ancrage ou de passage, portée par une échelle, une relation ou un raccordement.</w:t>
      </w:r>
    </w:p>
    <w:p>
      <w:pPr>
        <w:pStyle w:val="BodyText"/>
      </w:pPr>
      <w:r>
        <w:t xml:space="preserve">La deuxième correction concerne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qui n’est plus une famille supérieure. Le test de (</w:t>
      </w:r>
      <w:r>
        <w:t xml:space="preserve">), (H_0), (</w:t>
      </w:r>
      <w:r>
        <w:t xml:space="preserve">_m), (w), (A_s) et (n_s) a montré que le fond est une fonction architecturale propre à certains modèles cosmologiques, et non une famille générale de constantes.</w:t>
      </w:r>
    </w:p>
    <w:p>
      <w:pPr>
        <w:pStyle w:val="BodyText"/>
      </w:pPr>
      <w:r>
        <w:t xml:space="preserve">La carte v0.7 stabilise donc une structure à trois niveaux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bookmarkEnd w:id="21"/>
    <w:bookmarkStart w:id="22" w:name="définition-consolidée"/>
    <w:p>
      <w:pPr>
        <w:pStyle w:val="Heading2"/>
      </w:pPr>
      <w:r>
        <w:t xml:space="preserve">2. Définition consolidée</w:t>
      </w:r>
    </w:p>
    <w:p>
      <w:pPr>
        <w:pStyle w:val="FirstParagraph"/>
      </w:pPr>
      <w:r>
        <w:t xml:space="preserve">Une constante effective stabilisée est une grandeur qui acquiert une robustesse de valeur, de relation, d’orientation ou de fonction dans un régime déterminé.</w:t>
      </w:r>
    </w:p>
    <w:p>
      <w:pPr>
        <w:pStyle w:val="BodyText"/>
      </w:pPr>
      <w:r>
        <w:t xml:space="preserve">Cette robustesse doit être analysée selon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Formule condensée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t xml:space="preserve">]</w:t>
      </w:r>
    </w:p>
    <w:bookmarkEnd w:id="22"/>
    <w:bookmarkStart w:id="23" w:name="familles-fonctionnelles-supérieures-v0.7"/>
    <w:p>
      <w:pPr>
        <w:pStyle w:val="Heading2"/>
      </w:pPr>
      <w:r>
        <w:t xml:space="preserve">3. Familles fonctionnelles supérieures v0.7</w:t>
      </w:r>
    </w:p>
    <w:p>
      <w:pPr>
        <w:pStyle w:val="FirstParagraph"/>
      </w:pPr>
      <w:r>
        <w:t xml:space="preserve">La carte conserve désormais six familles supérieures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Ces familles ont des statuts différents. Certaines sont robustes, d’autres plus transversales, mais toutes conservent une fonction de classement.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Famille</w:t>
            </w:r>
          </w:p>
        </w:tc>
        <w:tc>
          <w:tcPr/>
          <w:p>
            <w:pPr>
              <w:pStyle w:val="Compact"/>
            </w:pPr>
            <w:r>
              <w:t xml:space="preserve">Fonction générale</w:t>
            </w:r>
          </w:p>
        </w:tc>
        <w:tc>
          <w:tcPr/>
          <w:p>
            <w:pPr>
              <w:pStyle w:val="Compact"/>
            </w:pPr>
            <w:r>
              <w:t xml:space="preserve">Exemples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Couplage</w:t>
            </w:r>
          </w:p>
        </w:tc>
        <w:tc>
          <w:tcPr/>
          <w:p>
            <w:pPr>
              <w:pStyle w:val="Compact"/>
            </w:pPr>
            <w:r>
              <w:t xml:space="preserve">Paramétrer une intensité ou une interaction</w:t>
            </w:r>
          </w:p>
        </w:tc>
        <w:tc>
          <w:tcPr/>
          <w:p>
            <w:pPr>
              <w:pStyle w:val="Compact"/>
            </w:pPr>
            <w:r>
              <w:t xml:space="preserve">(</w:t>
            </w:r>
            <w:r>
              <w:t xml:space="preserve">), (</w:t>
            </w:r>
            <w:r>
              <w:t xml:space="preserve">_s), (y_f), (</w:t>
            </w:r>
            <w:r>
              <w:t xml:space="preserve">_G)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Échelle</w:t>
            </w:r>
          </w:p>
        </w:tc>
        <w:tc>
          <w:tcPr/>
          <w:p>
            <w:pPr>
              <w:pStyle w:val="Compact"/>
            </w:pPr>
            <w:r>
              <w:t xml:space="preserve">Fixer, révéler ou hiérarchiser une échelle physique</w:t>
            </w:r>
          </w:p>
        </w:tc>
        <w:tc>
          <w:tcPr/>
          <w:p>
            <w:pPr>
              <w:pStyle w:val="Compact"/>
            </w:pPr>
            <w:r>
              <w:t xml:space="preserve">(v), (M_W), (</w:t>
            </w:r>
            <w:r>
              <w:rPr>
                <w:i/>
                <w:iCs/>
              </w:rPr>
              <w:t xml:space="preserve">{</w:t>
            </w:r>
            <w:r>
              <w:rPr>
                <w:i/>
                <w:iCs/>
              </w:rPr>
              <w:t xml:space="preserve">}), (M</w:t>
            </w:r>
            <w:r>
              <w:t xml:space="preserve">{</w:t>
            </w:r>
            <w:r>
              <w:t xml:space="preserve">}), (G_F^{-1/2})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Relation</w:t>
            </w:r>
          </w:p>
        </w:tc>
        <w:tc>
          <w:tcPr/>
          <w:p>
            <w:pPr>
              <w:pStyle w:val="Compact"/>
            </w:pPr>
            <w:r>
              <w:t xml:space="preserve">Mettre en rapport des grandeurs, niveaux, régimes ou spectres</w:t>
            </w:r>
          </w:p>
        </w:tc>
        <w:tc>
          <w:tcPr/>
          <w:p>
            <w:pPr>
              <w:pStyle w:val="Compact"/>
            </w:pPr>
            <w:r>
              <w:t xml:space="preserve">(m_p/m_e), (R=N_Ak_B), (</w:t>
            </w:r>
            <w:r>
              <w:t xml:space="preserve">m^2), (m_f=y_fv/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Raccordement</w:t>
            </w:r>
          </w:p>
        </w:tc>
        <w:tc>
          <w:tcPr/>
          <w:p>
            <w:pPr>
              <w:pStyle w:val="Compact"/>
            </w:pPr>
            <w:r>
              <w:t xml:space="preserve">Relier une description effective à une description plus complète</w:t>
            </w:r>
          </w:p>
        </w:tc>
        <w:tc>
          <w:tcPr/>
          <w:p>
            <w:pPr>
              <w:pStyle w:val="Compact"/>
            </w:pPr>
            <w:r>
              <w:t xml:space="preserve">(G_F), théorie de Fermi, EFT gravitationnelle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Orientation</w:t>
            </w:r>
          </w:p>
        </w:tc>
        <w:tc>
          <w:tcPr/>
          <w:p>
            <w:pPr>
              <w:pStyle w:val="Compact"/>
            </w:pPr>
            <w:r>
              <w:t xml:space="preserve">Stabiliser un désalignement entre bases, champs, états ou secteurs</w:t>
            </w:r>
          </w:p>
        </w:tc>
        <w:tc>
          <w:tcPr/>
          <w:p>
            <w:pPr>
              <w:pStyle w:val="Compact"/>
            </w:pPr>
            <w:r>
              <w:t xml:space="preserve">(</w:t>
            </w:r>
            <w:r>
              <w:t xml:space="preserve">_W), CKM, PMNS, phases CP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Convention</w:t>
            </w:r>
          </w:p>
        </w:tc>
        <w:tc>
          <w:tcPr/>
          <w:p>
            <w:pPr>
              <w:pStyle w:val="Compact"/>
            </w:pPr>
            <w:r>
              <w:t xml:space="preserve">Définir exactement une unité ou une grandeur dérivée dans un système métrologique</w:t>
            </w:r>
          </w:p>
        </w:tc>
        <w:tc>
          <w:tcPr/>
          <w:p>
            <w:pPr>
              <w:pStyle w:val="Compact"/>
            </w:pPr>
            <w:r>
              <w:t xml:space="preserve">(k_B), (N_A), (R)</w:t>
            </w:r>
          </w:p>
        </w:tc>
      </w:tr>
    </w:tbl>
    <w:p>
      <w:pPr>
        <w:pStyle w:val="BodyText"/>
      </w:pPr>
      <w:r>
        <w:t xml:space="preserve">La famille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w:r>
        <w:t xml:space="preserve">reste la plus large. Elle doit donc toujours recevoir une qualification secondaire.</w:t>
      </w:r>
    </w:p>
    <w:bookmarkEnd w:id="23"/>
    <w:bookmarkStart w:id="24" w:name="Xbd8c2520232fb0bf0bfd4afb0e6aed316fc97bc"/>
    <w:p>
      <w:pPr>
        <w:pStyle w:val="Heading2"/>
      </w:pPr>
      <w:r>
        <w:t xml:space="preserve">4. Statut des anciennes familles Seuil et Fond</w:t>
      </w:r>
    </w:p>
    <w:p>
      <w:pPr>
        <w:pStyle w:val="FirstParagraph"/>
      </w:pPr>
      <w:r>
        <w:t xml:space="preserve">Les anciennes familles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et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changent de rang.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devient une fonction transversale.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devient une fonction architecturale.</w:t>
      </w:r>
    </w:p>
    <w:p>
      <w:pPr>
        <w:pStyle w:val="BodyText"/>
      </w:pPr>
      <w:r>
        <w:t xml:space="preserve">Elles ne disparaissent pas. Elles cessent simplement d’occuper le niveau supérieur de la taxonomie.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Ancien statut</w:t>
            </w:r>
          </w:p>
        </w:tc>
        <w:tc>
          <w:tcPr/>
          <w:p>
            <w:pPr>
              <w:pStyle w:val="Compact"/>
            </w:pPr>
            <w:r>
              <w:t xml:space="preserve">Nouveau statut</w:t>
            </w:r>
          </w:p>
        </w:tc>
        <w:tc>
          <w:tcPr/>
          <w:p>
            <w:pPr>
              <w:pStyle w:val="Compact"/>
            </w:pPr>
            <w:r>
              <w:t xml:space="preserve">Fonction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Seuil</w:t>
            </w:r>
          </w:p>
        </w:tc>
        <w:tc>
          <w:tcPr/>
          <w:p>
            <w:pPr>
              <w:pStyle w:val="Compact"/>
            </w:pPr>
            <w:r>
              <w:t xml:space="preserve">Fonction transversale</w:t>
            </w:r>
          </w:p>
        </w:tc>
        <w:tc>
          <w:tcPr/>
          <w:p>
            <w:pPr>
              <w:pStyle w:val="Compact"/>
            </w:pPr>
            <w:r>
              <w:t xml:space="preserve">Marquer une limite, une borne, un passage, un ancrage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Fond</w:t>
            </w:r>
          </w:p>
        </w:tc>
        <w:tc>
          <w:tcPr/>
          <w:p>
            <w:pPr>
              <w:pStyle w:val="Compact"/>
            </w:pPr>
            <w:r>
              <w:t xml:space="preserve">Fonction architecturale</w:t>
            </w:r>
          </w:p>
        </w:tc>
        <w:tc>
          <w:tcPr/>
          <w:p>
            <w:pPr>
              <w:pStyle w:val="Compact"/>
            </w:pPr>
            <w:r>
              <w:t xml:space="preserve">Structurer un arrière-plan global dans une architecture cosmologique</w:t>
            </w:r>
          </w:p>
        </w:tc>
      </w:tr>
    </w:tbl>
    <w:p>
      <w:pPr>
        <w:pStyle w:val="BodyText"/>
      </w:pPr>
      <w:r>
        <w:t xml:space="preserve">Cette correction renforce la compression : toutes les distinctions utiles ne méritent pas le même rang.</w:t>
      </w:r>
    </w:p>
    <w:bookmarkEnd w:id="24"/>
    <w:bookmarkStart w:id="25" w:name="fonctions-transversales"/>
    <w:p>
      <w:pPr>
        <w:pStyle w:val="Heading2"/>
      </w:pPr>
      <w:r>
        <w:t xml:space="preserve">5. Fonctions transversales</w:t>
      </w:r>
    </w:p>
    <w:p>
      <w:pPr>
        <w:pStyle w:val="FirstParagraph"/>
      </w:pPr>
      <w:r>
        <w:t xml:space="preserve">Une fonction transversale est un rôle qu’une grandeur peut jouer en plus de sa famille principale.</w:t>
      </w:r>
    </w:p>
    <w:p>
      <w:pPr>
        <w:pStyle w:val="BodyText"/>
      </w:pPr>
      <w:r>
        <w:t xml:space="preserve">Elle ne classe pas la grandeur à elle seule. Elle précise un usage, une limite ou une manifestation.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Fonction transversale</w:t>
            </w:r>
          </w:p>
        </w:tc>
        <w:tc>
          <w:tcPr/>
          <w:p>
            <w:pPr>
              <w:pStyle w:val="Compact"/>
            </w:pPr>
            <w:r>
              <w:t xml:space="preserve">Définition</w:t>
            </w:r>
          </w:p>
        </w:tc>
        <w:tc>
          <w:tcPr/>
          <w:p>
            <w:pPr>
              <w:pStyle w:val="Compact"/>
            </w:pPr>
            <w:r>
              <w:t xml:space="preserve">Exemples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Seuil</w:t>
            </w:r>
          </w:p>
        </w:tc>
        <w:tc>
          <w:tcPr/>
          <w:p>
            <w:pPr>
              <w:pStyle w:val="Compact"/>
            </w:pPr>
            <w:r>
              <w:t xml:space="preserve">Marquer une limite, un passage ou un ancrage</w:t>
            </w:r>
          </w:p>
        </w:tc>
        <w:tc>
          <w:tcPr/>
          <w:p>
            <w:pPr>
              <w:pStyle w:val="Compact"/>
            </w:pPr>
            <w:r>
              <w:t xml:space="preserve">(M_W), (</w:t>
            </w:r>
            <w:r>
              <w:t xml:space="preserve">_{</w:t>
            </w:r>
            <w:r>
              <w:t xml:space="preserve">}), masse absolue neutrino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Borne</w:t>
            </w:r>
          </w:p>
        </w:tc>
        <w:tc>
          <w:tcPr/>
          <w:p>
            <w:pPr>
              <w:pStyle w:val="Compact"/>
            </w:pPr>
            <w:r>
              <w:t xml:space="preserve">Donner une limite expérimentale ou observationnelle</w:t>
            </w:r>
          </w:p>
        </w:tc>
        <w:tc>
          <w:tcPr/>
          <w:p>
            <w:pPr>
              <w:pStyle w:val="Compact"/>
            </w:pPr>
            <w:r>
              <w:t xml:space="preserve">(m_</w:t>
            </w:r>
            <w:r>
              <w:t xml:space="preserve">), (m_{</w:t>
            </w:r>
            <w:r>
              <w:t xml:space="preserve">}), (</w:t>
            </w:r>
            <w:r>
              <w:t xml:space="preserve">m_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Validité</w:t>
            </w:r>
          </w:p>
        </w:tc>
        <w:tc>
          <w:tcPr/>
          <w:p>
            <w:pPr>
              <w:pStyle w:val="Compact"/>
            </w:pPr>
            <w:r>
              <w:t xml:space="preserve">Marquer le domaine d’application d’une description</w:t>
            </w:r>
          </w:p>
        </w:tc>
        <w:tc>
          <w:tcPr/>
          <w:p>
            <w:pPr>
              <w:pStyle w:val="Compact"/>
            </w:pPr>
            <w:r>
              <w:t xml:space="preserve">théorie de Fermi, EFT gravitationnelle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Déphasage</w:t>
            </w:r>
          </w:p>
        </w:tc>
        <w:tc>
          <w:tcPr/>
          <w:p>
            <w:pPr>
              <w:pStyle w:val="Compact"/>
            </w:pPr>
            <w:r>
              <w:t xml:space="preserve">Manifester une relation spectrale sous forme de phase</w:t>
            </w:r>
          </w:p>
        </w:tc>
        <w:tc>
          <w:tcPr/>
          <w:p>
            <w:pPr>
              <w:pStyle w:val="Compact"/>
            </w:pPr>
            <w:r>
              <w:t xml:space="preserve">(</w:t>
            </w:r>
            <w:r>
              <w:t xml:space="preserve">m^2) dans les oscillations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Hiérarchie</w:t>
            </w:r>
          </w:p>
        </w:tc>
        <w:tc>
          <w:tcPr/>
          <w:p>
            <w:pPr>
              <w:pStyle w:val="Compact"/>
            </w:pPr>
            <w:r>
              <w:t xml:space="preserve">Organiser des écarts d’échelle, de masse ou de mélange</w:t>
            </w:r>
          </w:p>
        </w:tc>
        <w:tc>
          <w:tcPr/>
          <w:p>
            <w:pPr>
              <w:pStyle w:val="Compact"/>
            </w:pPr>
            <w:r>
              <w:t xml:space="preserve">Wolfenstein, masses fermioniques, (M_{</w:t>
            </w:r>
            <w:r>
              <w:t xml:space="preserve">})</w:t>
            </w:r>
          </w:p>
        </w:tc>
      </w:tr>
    </w:tbl>
    <w:p>
      <w:pPr>
        <w:pStyle w:val="BodyText"/>
      </w:pPr>
      <w:r>
        <w:t xml:space="preserve">Exemple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M_W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appartient principalement à la famille Échelle, mais joue une fonction transversale de seuil de validité pour la théorie de Fermi.</w:t>
      </w:r>
    </w:p>
    <w:p>
      <w:pPr>
        <w:pStyle w:val="BodyText"/>
      </w:pPr>
      <w:r>
        <w:t xml:space="preserve">Exemple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_{</w:t>
      </w:r>
      <w:r>
        <w:t xml:space="preserve">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appartient principalement à la famille Échelle, mais joue une fonction transversale de seuil entre régime perturbatif et régime non perturbatif.</w:t>
      </w:r>
    </w:p>
    <w:p>
      <w:pPr>
        <w:pStyle w:val="BodyText"/>
      </w:pPr>
      <w:r>
        <w:t xml:space="preserve">Exemple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m_</w:t>
      </w:r>
      <w:r>
        <w:t xml:space="preserve">,</w:t>
      </w:r>
      <w:r>
        <w:t xml:space="preserve">m_</w:t>
      </w:r>
      <w:r>
        <w:t xml:space="preserve">,</w:t>
      </w:r>
      <w:r>
        <w:t xml:space="preserve">m_{</w:t>
      </w:r>
      <w:r>
        <w:t xml:space="preserve">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relèvent d’une relation spectrale d’ancrage, avec fonction transversale de seuil spectral.</w:t>
      </w:r>
    </w:p>
    <w:bookmarkEnd w:id="25"/>
    <w:bookmarkStart w:id="26" w:name="fonctions-architecturales"/>
    <w:p>
      <w:pPr>
        <w:pStyle w:val="Heading2"/>
      </w:pPr>
      <w:r>
        <w:t xml:space="preserve">6. Fonctions architecturales</w:t>
      </w:r>
    </w:p>
    <w:p>
      <w:pPr>
        <w:pStyle w:val="FirstParagraph"/>
      </w:pPr>
      <w:r>
        <w:t xml:space="preserve">Une fonction architecturale est un rôle joué par une grandeur à l’intérieur d’une architecture globale.</w:t>
      </w:r>
    </w:p>
    <w:p>
      <w:pPr>
        <w:pStyle w:val="BodyText"/>
      </w:pPr>
      <w:r>
        <w:t xml:space="preserve">Elle ne forme pas une famille générale. Elle prend sens dans une configuration plus large.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Fonction architecturale</w:t>
            </w:r>
          </w:p>
        </w:tc>
        <w:tc>
          <w:tcPr/>
          <w:p>
            <w:pPr>
              <w:pStyle w:val="Compact"/>
            </w:pPr>
            <w:r>
              <w:t xml:space="preserve">Définition</w:t>
            </w:r>
          </w:p>
        </w:tc>
        <w:tc>
          <w:tcPr/>
          <w:p>
            <w:pPr>
              <w:pStyle w:val="Compact"/>
            </w:pPr>
            <w:r>
              <w:t xml:space="preserve">Exemples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Fond</w:t>
            </w:r>
          </w:p>
        </w:tc>
        <w:tc>
          <w:tcPr/>
          <w:p>
            <w:pPr>
              <w:pStyle w:val="Compact"/>
            </w:pPr>
            <w:r>
              <w:t xml:space="preserve">Structurer la dynamique globale d’un modèle cosmologique</w:t>
            </w:r>
          </w:p>
        </w:tc>
        <w:tc>
          <w:tcPr/>
          <w:p>
            <w:pPr>
              <w:pStyle w:val="Compact"/>
            </w:pPr>
            <w:r>
              <w:t xml:space="preserve">(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Paramètre d’état</w:t>
            </w:r>
          </w:p>
        </w:tc>
        <w:tc>
          <w:tcPr/>
          <w:p>
            <w:pPr>
              <w:pStyle w:val="Compact"/>
            </w:pPr>
            <w:r>
              <w:t xml:space="preserve">Décrire l’état actuel d’un système cosmologique</w:t>
            </w:r>
          </w:p>
        </w:tc>
        <w:tc>
          <w:tcPr/>
          <w:p>
            <w:pPr>
              <w:pStyle w:val="Compact"/>
            </w:pPr>
            <w:r>
              <w:t xml:space="preserve">(H_0)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Densité normalisée</w:t>
            </w:r>
          </w:p>
        </w:tc>
        <w:tc>
          <w:tcPr/>
          <w:p>
            <w:pPr>
              <w:pStyle w:val="Compact"/>
            </w:pPr>
            <w:r>
              <w:t xml:space="preserve">Exprimer une composante comme fraction d’une densité de référence</w:t>
            </w:r>
          </w:p>
        </w:tc>
        <w:tc>
          <w:tcPr/>
          <w:p>
            <w:pPr>
              <w:pStyle w:val="Compact"/>
            </w:pPr>
            <w:r>
              <w:t xml:space="preserve">(</w:t>
            </w:r>
            <w:r>
              <w:rPr>
                <w:i/>
                <w:iCs/>
              </w:rPr>
              <w:t xml:space="preserve">m), (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Relation d’état</w:t>
            </w:r>
          </w:p>
        </w:tc>
        <w:tc>
          <w:tcPr/>
          <w:p>
            <w:pPr>
              <w:pStyle w:val="Compact"/>
            </w:pPr>
            <w:r>
              <w:t xml:space="preserve">Relier pression et densité</w:t>
            </w:r>
          </w:p>
        </w:tc>
        <w:tc>
          <w:tcPr/>
          <w:p>
            <w:pPr>
              <w:pStyle w:val="Compact"/>
            </w:pPr>
            <w:r>
              <w:t xml:space="preserve">(w=p/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Condition initiale perturbative</w:t>
            </w:r>
          </w:p>
        </w:tc>
        <w:tc>
          <w:tcPr/>
          <w:p>
            <w:pPr>
              <w:pStyle w:val="Compact"/>
            </w:pPr>
            <w:r>
              <w:t xml:space="preserve">Fixer le spectre primordial des perturbations</w:t>
            </w:r>
          </w:p>
        </w:tc>
        <w:tc>
          <w:tcPr/>
          <w:p>
            <w:pPr>
              <w:pStyle w:val="Compact"/>
            </w:pPr>
            <w:r>
              <w:t xml:space="preserve">(A_s), (n_s)</w:t>
            </w:r>
          </w:p>
        </w:tc>
      </w:tr>
    </w:tbl>
    <w:p>
      <w:pPr>
        <w:pStyle w:val="BodyText"/>
      </w:pPr>
      <w:r>
        <w:t xml:space="preserve">Le cas de (</w:t>
      </w:r>
      <w:r>
        <w:t xml:space="preserve">) est central : il conserve une fonction de fond cosmologique, mais cette fonction s’inscrit dans l’architecture cosmologique. Elle ne suffit pas à fonder une famille supérieure autonome.</w:t>
      </w:r>
    </w:p>
    <w:bookmarkEnd w:id="26"/>
    <w:bookmarkStart w:id="27" w:name="architectures-inter-familles-v0.7"/>
    <w:p>
      <w:pPr>
        <w:pStyle w:val="Heading2"/>
      </w:pPr>
      <w:r>
        <w:t xml:space="preserve">7. Architectures inter-familles v0.7</w:t>
      </w:r>
    </w:p>
    <w:p>
      <w:pPr>
        <w:pStyle w:val="FirstParagraph"/>
      </w:pPr>
      <w:r>
        <w:t xml:space="preserve">La carte reconnaît quatre architectures.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</w:pPr>
            <w:r>
              <w:t xml:space="preserve">Familles articulées</w:t>
            </w:r>
          </w:p>
        </w:tc>
        <w:tc>
          <w:tcPr/>
          <w:p>
            <w:pPr>
              <w:pStyle w:val="Compact"/>
            </w:pPr>
            <w:r>
              <w:t xml:space="preserve">Statut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Saveur-Higgs</w:t>
            </w:r>
          </w:p>
        </w:tc>
        <w:tc>
          <w:tcPr/>
          <w:p>
            <w:pPr>
              <w:pStyle w:val="Compact"/>
            </w:pPr>
            <w:r>
              <w:t xml:space="preserve">Échelle + Couplage + Relation + Orientation</w:t>
            </w:r>
          </w:p>
        </w:tc>
        <w:tc>
          <w:tcPr/>
          <w:p>
            <w:pPr>
              <w:pStyle w:val="Compact"/>
            </w:pPr>
            <w:r>
              <w:t xml:space="preserve">Confirmée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Métrologique SI</w:t>
            </w:r>
          </w:p>
        </w:tc>
        <w:tc>
          <w:tcPr/>
          <w:p>
            <w:pPr>
              <w:pStyle w:val="Compact"/>
            </w:pPr>
            <w:r>
              <w:t xml:space="preserve">Convention + Relation + Échelle</w:t>
            </w:r>
          </w:p>
        </w:tc>
        <w:tc>
          <w:tcPr/>
          <w:p>
            <w:pPr>
              <w:pStyle w:val="Compact"/>
            </w:pPr>
            <w:r>
              <w:t xml:space="preserve">Confirmée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Effective basse énergie</w:t>
            </w:r>
          </w:p>
        </w:tc>
        <w:tc>
          <w:tcPr/>
          <w:p>
            <w:pPr>
              <w:pStyle w:val="Compact"/>
            </w:pPr>
            <w:r>
              <w:t xml:space="preserve">Raccordement + Échelle + Couplage + Relation</w:t>
            </w:r>
          </w:p>
        </w:tc>
        <w:tc>
          <w:tcPr/>
          <w:p>
            <w:pPr>
              <w:pStyle w:val="Compact"/>
            </w:pPr>
            <w:r>
              <w:t xml:space="preserve">Provisoirement confirmée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Cosmologique</w:t>
            </w:r>
          </w:p>
        </w:tc>
        <w:tc>
          <w:tcPr/>
          <w:p>
            <w:pPr>
              <w:pStyle w:val="Compact"/>
            </w:pPr>
            <w:r>
              <w:t xml:space="preserve">Échelle + Relation + fonctions architecturales + paramètres de modèle</w:t>
            </w:r>
          </w:p>
        </w:tc>
        <w:tc>
          <w:tcPr/>
          <w:p>
            <w:pPr>
              <w:pStyle w:val="Compact"/>
            </w:pPr>
            <w:r>
              <w:t xml:space="preserve">Nécessaire mais taxonomie interne délicate</w:t>
            </w:r>
          </w:p>
        </w:tc>
      </w:tr>
    </w:tbl>
    <w:p>
      <w:pPr>
        <w:pStyle w:val="BodyText"/>
      </w:pPr>
      <w:r>
        <w:t xml:space="preserve">Une architecture n’est pas une famille. Elle décrit la manière dont plusieurs familles se combinent dans un secteur.</w:t>
      </w:r>
    </w:p>
    <w:bookmarkEnd w:id="27"/>
    <w:bookmarkStart w:id="28" w:name="architecture-saveur-higgs"/>
    <w:p>
      <w:pPr>
        <w:pStyle w:val="Heading2"/>
      </w:pPr>
      <w:r>
        <w:t xml:space="preserve">8. Architecture saveur-Higgs</w:t>
      </w:r>
    </w:p>
    <w:p>
      <w:pPr>
        <w:pStyle w:val="FirstParagraph"/>
      </w:pPr>
      <w:r>
        <w:t xml:space="preserve">L’architecture saveur-Higgs articule :</w:t>
      </w:r>
    </w:p>
    <w:p>
      <w:pPr>
        <w:pStyle w:val="BodyText"/>
      </w:pPr>
      <w:r>
        <w:t xml:space="preserve">[</w:t>
      </w:r>
      <w:r>
        <w:t xml:space="preserve"> </w:t>
      </w:r>
    </w:p>
    <w:p>
      <w:pPr>
        <w:pStyle w:val="Compact"/>
        <w:numPr>
          <w:ilvl w:val="0"/>
          <w:numId w:val="1002"/>
        </w:numPr>
      </w:pPr>
      <w:r>
        <w:t xml:space="preserve">]</w:t>
      </w:r>
    </w:p>
    <w:p>
      <w:pPr>
        <w:pStyle w:val="FirstParagraph"/>
      </w:pPr>
      <w:r>
        <w:t xml:space="preserve">Sa forme compacte est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t xml:space="preserve">]</w:t>
      </w:r>
    </w:p>
    <w:p>
      <w:pPr>
        <w:pStyle w:val="FirstParagraph"/>
      </w:pPr>
      <w:r>
        <w:t xml:space="preserve">avec, dans le secteur neutrino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+ 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Lecture des grandeurs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v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fixe l’échelle électrofaible.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Y_f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distribue cette échelle sous forme de textures de Yukawa.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m_f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stabilise les masses de régime brisé.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V_{</w:t>
      </w:r>
      <w:r>
        <w:t xml:space="preserve">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oriente les transitions faibles des quarks.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U_{</w:t>
      </w:r>
      <w:r>
        <w:t xml:space="preserve">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oriente les oscillations de saveur des neutrinos.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m^2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fixe des relations spectrales.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m_</w:t>
      </w:r>
      <w:r>
        <w:t xml:space="preserve">,</w:t>
      </w:r>
      <w:r>
        <w:t xml:space="preserve">m_</w:t>
      </w:r>
      <w:r>
        <w:t xml:space="preserve">,</w:t>
      </w:r>
      <w:r>
        <w:t xml:space="preserve">m_{</w:t>
      </w:r>
      <w:r>
        <w:t xml:space="preserve">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sont des projections d’un ancrage spectral à fonction seuil.</w:t>
      </w:r>
    </w:p>
    <w:bookmarkEnd w:id="28"/>
    <w:bookmarkStart w:id="29" w:name="architecture-métrologique-si"/>
    <w:p>
      <w:pPr>
        <w:pStyle w:val="Heading2"/>
      </w:pPr>
      <w:r>
        <w:t xml:space="preserve">9. Architecture métrologique SI</w:t>
      </w:r>
    </w:p>
    <w:p>
      <w:pPr>
        <w:pStyle w:val="FirstParagraph"/>
      </w:pPr>
      <w:r>
        <w:t xml:space="preserve">L’architecture métrologique SI articule :</w:t>
      </w:r>
    </w:p>
    <w:p>
      <w:pPr>
        <w:pStyle w:val="BodyText"/>
      </w:pPr>
      <w:r>
        <w:t xml:space="preserve">[</w:t>
      </w:r>
      <w:r>
        <w:t xml:space="preserve"> </w:t>
      </w:r>
    </w:p>
    <w:p>
      <w:pPr>
        <w:pStyle w:val="Compact"/>
        <w:numPr>
          <w:ilvl w:val="0"/>
          <w:numId w:val="1004"/>
        </w:numPr>
      </w:pPr>
      <w:r>
        <w:t xml:space="preserve">]</w:t>
      </w:r>
    </w:p>
    <w:p>
      <w:pPr>
        <w:pStyle w:val="FirstParagraph"/>
      </w:pPr>
      <w:r>
        <w:t xml:space="preserve">Elle repose sur deux types de constantes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et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Dans le corpus actuel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k_B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est définissante primaire pour le kelvin.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N_A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est définissante primaire pour la mole.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R=N_Ak_B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est exacte par composition.</w:t>
      </w:r>
    </w:p>
    <w:p>
      <w:pPr>
        <w:pStyle w:val="BodyText"/>
      </w:pPr>
      <w:r>
        <w:t xml:space="preserve">La formule compacte est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]</w:t>
      </w:r>
    </w:p>
    <w:p>
      <w:pPr>
        <w:pStyle w:val="FirstParagraph"/>
      </w:pPr>
      <w:r>
        <w:t xml:space="preserve">Cette architecture empêche de confondre exactitude conventionnelle et mesure infiniment précise.</w:t>
      </w:r>
    </w:p>
    <w:bookmarkEnd w:id="29"/>
    <w:bookmarkStart w:id="30" w:name="architecture-effective-basse-énergie"/>
    <w:p>
      <w:pPr>
        <w:pStyle w:val="Heading2"/>
      </w:pPr>
      <w:r>
        <w:t xml:space="preserve">10. Architecture effective basse énergie</w:t>
      </w:r>
    </w:p>
    <w:p>
      <w:pPr>
        <w:pStyle w:val="FirstParagraph"/>
      </w:pPr>
      <w:r>
        <w:t xml:space="preserve">L’architecture effective basse énergie articule :</w:t>
      </w:r>
    </w:p>
    <w:p>
      <w:pPr>
        <w:pStyle w:val="BodyText"/>
      </w:pPr>
      <w:r>
        <w:t xml:space="preserve">[</w:t>
      </w:r>
      <w:r>
        <w:t xml:space="preserve"> </w:t>
      </w:r>
    </w:p>
    <w:p>
      <w:pPr>
        <w:pStyle w:val="Compact"/>
        <w:numPr>
          <w:ilvl w:val="0"/>
          <w:numId w:val="1006"/>
        </w:numPr>
      </w:pPr>
      <w:r>
        <w:t xml:space="preserve">]</w:t>
      </w:r>
    </w:p>
    <w:p>
      <w:pPr>
        <w:pStyle w:val="FirstParagraph"/>
      </w:pPr>
      <w:r>
        <w:t xml:space="preserve">Elle concerne les cas où une description simplifiée devient robuste dans un domaine limité.</w:t>
      </w:r>
    </w:p>
    <w:p>
      <w:pPr>
        <w:pStyle w:val="BodyText"/>
      </w:pPr>
      <w:r>
        <w:t xml:space="preserve">Exemples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G_F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raccorde la théorie de Fermi au régime électrofaible complet.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M_W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joue le rôle d’échelle électrofaible et de seuil de validité de la description de Fermi.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_s(Q^2)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décrit un couplage courant.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_{</w:t>
      </w:r>
      <w:r>
        <w:t xml:space="preserve">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fixe une échelle dynamique et joue une fonction seuil perturbatif/non perturbatif.</w:t>
      </w:r>
    </w:p>
    <w:p>
      <w:pPr>
        <w:pStyle w:val="BodyText"/>
      </w:pPr>
      <w:r>
        <w:t xml:space="preserve">La formule compacte est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</w:p>
    <w:p>
      <w:pPr>
        <w:pStyle w:val="Compact"/>
        <w:numPr>
          <w:ilvl w:val="0"/>
          <w:numId w:val="1007"/>
        </w:numPr>
      </w:pPr>
      <w:r>
        <w:t xml:space="preserve">]</w:t>
      </w:r>
    </w:p>
    <w:bookmarkEnd w:id="30"/>
    <w:bookmarkStart w:id="31" w:name="architecture-cosmologique"/>
    <w:p>
      <w:pPr>
        <w:pStyle w:val="Heading2"/>
      </w:pPr>
      <w:r>
        <w:t xml:space="preserve">11. Architecture cosmologique</w:t>
      </w:r>
    </w:p>
    <w:p>
      <w:pPr>
        <w:pStyle w:val="FirstParagraph"/>
      </w:pPr>
      <w:r>
        <w:t xml:space="preserve">L’architecture cosmologique est désormais reconnue comme nécessaire, mais sa taxonomie interne reste délicate.</w:t>
      </w:r>
    </w:p>
    <w:p>
      <w:pPr>
        <w:pStyle w:val="BodyText"/>
      </w:pPr>
      <w:r>
        <w:t xml:space="preserve">Elle articule des objets de types différents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comme terme de fond cosmologique,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H_0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comme paramètre d’état actuel de l’expansion,</w:t>
      </w:r>
    </w:p>
    <w:p>
      <w:pPr>
        <w:pStyle w:val="BodyText"/>
      </w:pPr>
      <w:r>
        <w:t xml:space="preserve">[</w:t>
      </w:r>
      <w:r>
        <w:t xml:space="preserve"> </w:t>
      </w:r>
      <w:r>
        <w:rPr>
          <w:i/>
          <w:iCs/>
        </w:rPr>
        <w:t xml:space="preserve">m,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comme densités normalisées,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w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comme relation d’état pression/densité,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A_s,</w:t>
      </w:r>
      <w:r>
        <w:t xml:space="preserve">n_s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comme paramètres du spectre primordial,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_8,</w:t>
      </w:r>
      <w:r>
        <w:t xml:space="preserve">S_8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comme amplitudes de structure tardive.</w:t>
      </w:r>
    </w:p>
    <w:p>
      <w:pPr>
        <w:pStyle w:val="BodyText"/>
      </w:pPr>
      <w:r>
        <w:t xml:space="preserve">La formule compacte est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</w:p>
    <w:p>
      <w:pPr>
        <w:pStyle w:val="Compact"/>
        <w:numPr>
          <w:ilvl w:val="0"/>
          <w:numId w:val="1008"/>
        </w:numPr>
      </w:pPr>
      <w:r>
        <w:t xml:space="preserve">]</w:t>
      </w:r>
    </w:p>
    <w:p>
      <w:pPr>
        <w:pStyle w:val="FirstParagraph"/>
      </w:pPr>
      <w:r>
        <w:t xml:space="preserve">Cette architecture ne doit pas être réduite à la famille Fond. Le fond est une fonction interne à l’architecture cosmologique.</w:t>
      </w:r>
    </w:p>
    <w:bookmarkEnd w:id="31"/>
    <w:bookmarkStart w:id="32" w:name="reclassement-de"/>
    <w:p>
      <w:pPr>
        <w:pStyle w:val="Heading2"/>
      </w:pPr>
      <w:r>
        <w:t xml:space="preserve">12. Reclassement de (</w:t>
      </w:r>
      <w:r>
        <w:t xml:space="preserve">)</w:t>
      </w:r>
    </w:p>
    <w:p>
      <w:pPr>
        <w:pStyle w:val="FirstParagraph"/>
      </w:pPr>
      <w:r>
        <w:t xml:space="preserve">La constante cosmologique doit être lue ainsi :</w:t>
      </w:r>
    </w:p>
    <w:p>
      <w:pPr>
        <w:pStyle w:val="BodyText"/>
      </w:pPr>
      <w:r>
        <w:t xml:space="preserve">Famille principale possible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selon que l’on insiste sur son échelle cosmologique ou sur sa reformulation en densité effective.</w:t>
      </w:r>
    </w:p>
    <w:p>
      <w:pPr>
        <w:pStyle w:val="BodyText"/>
      </w:pPr>
      <w:r>
        <w:t xml:space="preserve">Fonction architecturale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Sous-type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Architecture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Mode de stabilisation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mais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Formulation :</w:t>
      </w:r>
    </w:p>
    <w:p>
      <w:pPr>
        <w:pStyle w:val="BodyText"/>
      </w:pPr>
      <w:r>
        <w:rPr>
          <w:b/>
          <w:bCs/>
        </w:rPr>
        <w:t xml:space="preserve">(</w:t>
      </w:r>
      <w:r>
        <w:rPr>
          <w:b/>
          <w:bCs/>
        </w:rPr>
        <w:t xml:space="preserve">) est un terme de fond dans l’architecture cosmologique ; sa valeur est fortement stabilisée comme paramètre du modèle (</w:t>
      </w:r>
      <w:r>
        <w:rPr>
          <w:b/>
          <w:bCs/>
        </w:rPr>
        <w:t xml:space="preserve">)CDM, mais son statut physique profond et son caractère strictement constant restent ouverts.</w:t>
      </w:r>
    </w:p>
    <w:bookmarkEnd w:id="32"/>
    <w:bookmarkStart w:id="33" w:name="reclassement-de-h_0"/>
    <w:p>
      <w:pPr>
        <w:pStyle w:val="Heading2"/>
      </w:pPr>
      <w:r>
        <w:t xml:space="preserve">13. Reclassement de (H_0)</w:t>
      </w:r>
    </w:p>
    <w:p>
      <w:pPr>
        <w:pStyle w:val="FirstParagraph"/>
      </w:pPr>
      <w:r>
        <w:t xml:space="preserve">Le paramètre de Hubble actuel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H_0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n’est pas une constante de fond au même sens que (</w:t>
      </w:r>
      <w:r>
        <w:t xml:space="preserve">).</w:t>
      </w:r>
    </w:p>
    <w:p>
      <w:pPr>
        <w:pStyle w:val="BodyText"/>
      </w:pPr>
      <w:r>
        <w:t xml:space="preserve">Famille principale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Fonction architecturale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Architecture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Mode d’accès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Formulation :</w:t>
      </w:r>
    </w:p>
    <w:p>
      <w:pPr>
        <w:pStyle w:val="BodyText"/>
      </w:pPr>
      <w:r>
        <w:rPr>
          <w:b/>
          <w:bCs/>
        </w:rPr>
        <w:t xml:space="preserve">(H_0) est une grandeur d’état actuelle de l’expansion, fortement dépendante du régime d’accès et du cadre cosmologique utilisé.</w:t>
      </w:r>
    </w:p>
    <w:bookmarkEnd w:id="33"/>
    <w:bookmarkStart w:id="34" w:name="reclassement-de-w"/>
    <w:p>
      <w:pPr>
        <w:pStyle w:val="Heading2"/>
      </w:pPr>
      <w:r>
        <w:t xml:space="preserve">14. Reclassement de (w)</w:t>
      </w:r>
    </w:p>
    <w:p>
      <w:pPr>
        <w:pStyle w:val="FirstParagraph"/>
      </w:pPr>
      <w:r>
        <w:t xml:space="preserve">Le paramètre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w=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est une relation d’état.</w:t>
      </w:r>
    </w:p>
    <w:p>
      <w:pPr>
        <w:pStyle w:val="BodyText"/>
      </w:pPr>
      <w:r>
        <w:t xml:space="preserve">Famille principale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Sous-type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Fonction architecturale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Architecture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Formulation :</w:t>
      </w:r>
    </w:p>
    <w:p>
      <w:pPr>
        <w:pStyle w:val="BodyText"/>
      </w:pPr>
      <w:r>
        <w:rPr>
          <w:b/>
          <w:bCs/>
        </w:rPr>
        <w:t xml:space="preserve">(w) n’est pas un fond ; il décrit le comportement dynamique ou constant d’une composante de fond.</w:t>
      </w:r>
    </w:p>
    <w:bookmarkEnd w:id="34"/>
    <w:bookmarkStart w:id="35" w:name="reclassement-de-a_s-et-n_s"/>
    <w:p>
      <w:pPr>
        <w:pStyle w:val="Heading2"/>
      </w:pPr>
      <w:r>
        <w:t xml:space="preserve">15. Reclassement de (A_s) et (n_s)</w:t>
      </w:r>
    </w:p>
    <w:p>
      <w:pPr>
        <w:pStyle w:val="FirstParagraph"/>
      </w:pPr>
      <w:r>
        <w:t xml:space="preserve">Les paramètres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A_s,</w:t>
      </w:r>
      <w:r>
        <w:t xml:space="preserve">n_s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relèvent des conditions initiales perturbatives.</w:t>
      </w:r>
    </w:p>
    <w:p>
      <w:pPr>
        <w:pStyle w:val="BodyText"/>
      </w:pPr>
      <w:r>
        <w:t xml:space="preserve">Familles principales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Fonctions architecturales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Architecture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Formulation :</w:t>
      </w:r>
    </w:p>
    <w:p>
      <w:pPr>
        <w:pStyle w:val="BodyText"/>
      </w:pPr>
      <w:r>
        <w:rPr>
          <w:b/>
          <w:bCs/>
        </w:rPr>
        <w:t xml:space="preserve">(A_s) et (n_s) structurent le spectre primordial des perturbations ; ils ne sont pas des constantes de fond, mais des paramètres architecturaux du modèle cosmologique.</w:t>
      </w:r>
    </w:p>
    <w:bookmarkEnd w:id="35"/>
    <w:bookmarkStart w:id="36" w:name="matrice-canonique-v0.7"/>
    <w:p>
      <w:pPr>
        <w:pStyle w:val="Heading2"/>
      </w:pPr>
      <w:r>
        <w:t xml:space="preserve">16. Matrice canonique v0.7</w:t>
      </w:r>
    </w:p>
    <w:p>
      <w:pPr>
        <w:pStyle w:val="FirstParagraph"/>
      </w:pPr>
      <w:r>
        <w:t xml:space="preserve">Toute fiche doit désormais pouvoir être ramenée à la matrice suivante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Critère</w:t>
            </w:r>
          </w:p>
        </w:tc>
        <w:tc>
          <w:tcPr/>
          <w:p>
            <w:pPr>
              <w:pStyle w:val="Compact"/>
            </w:pPr>
            <w:r>
              <w:t xml:space="preserve">Question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Grandeur</w:t>
            </w:r>
          </w:p>
        </w:tc>
        <w:tc>
          <w:tcPr/>
          <w:p>
            <w:pPr>
              <w:pStyle w:val="Compact"/>
            </w:pPr>
            <w:r>
              <w:t xml:space="preserve">De quoi parle-t-on exactement ?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 logique</w:t>
            </w:r>
          </w:p>
        </w:tc>
        <w:tc>
          <w:tcPr/>
          <w:p>
            <w:pPr>
              <w:pStyle w:val="Compact"/>
            </w:pPr>
            <w:r>
              <w:t xml:space="preserve">Valeur, rapport, couplage, échelle, angle, phase, matrice, coefficient, paramètre ?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Dimensionnée ou sans dimension ?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Famille principale</w:t>
            </w:r>
          </w:p>
        </w:tc>
        <w:tc>
          <w:tcPr/>
          <w:p>
            <w:pPr>
              <w:pStyle w:val="Compact"/>
            </w:pPr>
            <w:r>
              <w:t xml:space="preserve">Couplage, Échelle, Relation, Raccordement, Orientation ou Convention ?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Fonction transversale éventuelle</w:t>
            </w:r>
          </w:p>
        </w:tc>
        <w:tc>
          <w:tcPr/>
          <w:p>
            <w:pPr>
              <w:pStyle w:val="Compact"/>
            </w:pPr>
            <w:r>
              <w:t xml:space="preserve">Seuil, borne, validité, déphasage, hiérarchie ?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Fonction architecturale éventuelle</w:t>
            </w:r>
          </w:p>
        </w:tc>
        <w:tc>
          <w:tcPr/>
          <w:p>
            <w:pPr>
              <w:pStyle w:val="Compact"/>
            </w:pPr>
            <w:r>
              <w:t xml:space="preserve">Fond, paramètre d’état, densité normalisée, condition initiale ?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Régime de définition physique</w:t>
            </w:r>
          </w:p>
        </w:tc>
        <w:tc>
          <w:tcPr/>
          <w:p>
            <w:pPr>
              <w:pStyle w:val="Compact"/>
            </w:pPr>
            <w:r>
              <w:t xml:space="preserve">Dans quel domaine la grandeur joue-t-elle un rôle ?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Régime d’accès épistémique</w:t>
            </w:r>
          </w:p>
        </w:tc>
        <w:tc>
          <w:tcPr/>
          <w:p>
            <w:pPr>
              <w:pStyle w:val="Compact"/>
            </w:pPr>
            <w:r>
              <w:t xml:space="preserve">Comment est-elle mesurée, reconstruite, fixée ou bornée ?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 de stabilisation</w:t>
            </w:r>
          </w:p>
        </w:tc>
        <w:tc>
          <w:tcPr/>
          <w:p>
            <w:pPr>
              <w:pStyle w:val="Compact"/>
            </w:pPr>
            <w:r>
              <w:t xml:space="preserve">Empirique, conventionnel, modèle-dépendant, borné, ouvert ?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 éventuelle</w:t>
            </w:r>
          </w:p>
        </w:tc>
        <w:tc>
          <w:tcPr/>
          <w:p>
            <w:pPr>
              <w:pStyle w:val="Compact"/>
            </w:pPr>
            <w:r>
              <w:t xml:space="preserve">Saveur-Higgs, SI, effective basse énergie, cosmologique ?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Limites</w:t>
            </w:r>
          </w:p>
        </w:tc>
        <w:tc>
          <w:tcPr/>
          <w:p>
            <w:pPr>
              <w:pStyle w:val="Compact"/>
            </w:pPr>
            <w:r>
              <w:t xml:space="preserve">Qu’est-ce que cette grandeur ne dit pas ?</w:t>
            </w:r>
          </w:p>
        </w:tc>
      </w:tr>
    </w:tbl>
    <w:p>
      <w:pPr>
        <w:pStyle w:val="BodyText"/>
      </w:pPr>
      <w:r>
        <w:t xml:space="preserve">Cette matrice remplace les versions précédentes.</w:t>
      </w:r>
    </w:p>
    <w:bookmarkEnd w:id="36"/>
    <w:bookmarkStart w:id="37" w:name="carte-synthétique-v0.7"/>
    <w:p>
      <w:pPr>
        <w:pStyle w:val="Heading2"/>
      </w:pPr>
      <w:r>
        <w:t xml:space="preserve">17. Carte synthétique v0.7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bookmarkEnd w:id="37"/>
    <w:bookmarkEnd w:id="38"/>
    <w:bookmarkStart w:id="39" w:name="section"/>
    <w:p>
      <w:pPr>
        <w:pStyle w:val="Heading1"/>
      </w:pPr>
      <w:r>
        <w:t xml:space="preserve">[</w:t>
      </w:r>
    </w:p>
    <w:p>
      <w:pPr>
        <w:pStyle w:val="Compact"/>
        <w:numPr>
          <w:ilvl w:val="0"/>
          <w:numId w:val="1009"/>
        </w:numPr>
      </w:pPr>
      <w:r>
        <w:t xml:space="preserve">]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bookmarkEnd w:id="39"/>
    <w:bookmarkStart w:id="40" w:name="section-1"/>
    <w:p>
      <w:pPr>
        <w:pStyle w:val="Heading1"/>
      </w:pPr>
      <w:r>
        <w:t xml:space="preserve">[</w:t>
      </w:r>
    </w:p>
    <w:p>
      <w:pPr>
        <w:pStyle w:val="Compact"/>
        <w:numPr>
          <w:ilvl w:val="0"/>
          <w:numId w:val="1010"/>
        </w:numPr>
      </w:pPr>
      <w:r>
        <w:t xml:space="preserve">]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bookmarkEnd w:id="40"/>
    <w:bookmarkStart w:id="41" w:name="section-2"/>
    <w:p>
      <w:pPr>
        <w:pStyle w:val="Heading1"/>
      </w:pPr>
      <w:r>
        <w:t xml:space="preserve">[</w:t>
      </w:r>
    </w:p>
    <w:p>
      <w:pPr>
        <w:pStyle w:val="Compact"/>
        <w:numPr>
          <w:ilvl w:val="0"/>
          <w:numId w:val="1011"/>
        </w:numPr>
      </w:pPr>
      <w:r>
        <w:t xml:space="preserve">]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bookmarkEnd w:id="41"/>
    <w:bookmarkStart w:id="46" w:name="section-3"/>
    <w:p>
      <w:pPr>
        <w:pStyle w:val="Heading1"/>
      </w:pPr>
      <w:r>
        <w:t xml:space="preserve">[</w:t>
      </w:r>
    </w:p>
    <w:p>
      <w:pPr>
        <w:pStyle w:val="Compact"/>
        <w:numPr>
          <w:ilvl w:val="0"/>
          <w:numId w:val="1012"/>
        </w:numPr>
      </w:pPr>
      <w:r>
        <w:t xml:space="preserve">]</w:t>
      </w:r>
    </w:p>
    <w:p>
      <w:pPr>
        <w:pStyle w:val="FirstParagraph"/>
      </w:pPr>
      <w:r>
        <w:t xml:space="preserve">La carte a donc quatre niveaux de lecture, mais seulement six familles supérieures.</w:t>
      </w:r>
    </w:p>
    <w:bookmarkStart w:id="42" w:name="ce-que-la-v0.7-stabilise"/>
    <w:p>
      <w:pPr>
        <w:pStyle w:val="Heading2"/>
      </w:pPr>
      <w:r>
        <w:t xml:space="preserve">18. Ce que la v0.7 stabilise</w:t>
      </w:r>
    </w:p>
    <w:p>
      <w:pPr>
        <w:pStyle w:val="FirstParagraph"/>
      </w:pPr>
      <w:r>
        <w:t xml:space="preserve">La v0.7 stabilise quatre décisions.</w:t>
      </w:r>
    </w:p>
    <w:p>
      <w:pPr>
        <w:pStyle w:val="BodyText"/>
      </w:pPr>
      <w:r>
        <w:t xml:space="preserve">Première décision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n’est pas une famille.</w:t>
      </w:r>
    </w:p>
    <w:p>
      <w:pPr>
        <w:pStyle w:val="BodyText"/>
      </w:pPr>
      <w:r>
        <w:t xml:space="preserve">Deuxième décision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n’est pas une famille.</w:t>
      </w:r>
    </w:p>
    <w:p>
      <w:pPr>
        <w:pStyle w:val="BodyText"/>
      </w:pPr>
      <w:r>
        <w:t xml:space="preserve">Troisième décision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survit comme famille transversale faible, mais toujours qualifiée.</w:t>
      </w:r>
    </w:p>
    <w:p>
      <w:pPr>
        <w:pStyle w:val="BodyText"/>
      </w:pPr>
      <w:r>
        <w:t xml:space="preserve">Quatrième décision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devient indispensable pour traiter les secteurs complexes sans créer de familles trop larges.</w:t>
      </w:r>
    </w:p>
    <w:bookmarkEnd w:id="42"/>
    <w:bookmarkStart w:id="43" w:name="ce-que-la-v0.7-laisse-ouvert"/>
    <w:p>
      <w:pPr>
        <w:pStyle w:val="Heading2"/>
      </w:pPr>
      <w:r>
        <w:t xml:space="preserve">19. Ce que la v0.7 laisse ouvert</w:t>
      </w:r>
    </w:p>
    <w:p>
      <w:pPr>
        <w:pStyle w:val="FirstParagraph"/>
      </w:pPr>
      <w:r>
        <w:t xml:space="preserve">La carte laisse ouvertes trois questions.</w:t>
      </w:r>
    </w:p>
    <w:p>
      <w:pPr>
        <w:pStyle w:val="BodyText"/>
      </w:pPr>
      <w:r>
        <w:t xml:space="preserve">Première question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doit-elle rester une famille supérieure, ou devenir elle aussi une fonction transversale ?</w:t>
      </w:r>
    </w:p>
    <w:p>
      <w:pPr>
        <w:pStyle w:val="BodyText"/>
      </w:pPr>
      <w:r>
        <w:t xml:space="preserve">Elle survit pour l’instant, mais elle reste la plus fragile des six familles.</w:t>
      </w:r>
    </w:p>
    <w:p>
      <w:pPr>
        <w:pStyle w:val="BodyText"/>
      </w:pPr>
      <w:r>
        <w:t xml:space="preserve">Deuxième question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peut-elle être stabilisée sans faire entrer trop de paramètres de modèle dans la carte ?</w:t>
      </w:r>
    </w:p>
    <w:p>
      <w:pPr>
        <w:pStyle w:val="BodyText"/>
      </w:pPr>
      <w:r>
        <w:t xml:space="preserve">Troisième question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doit-elle être consolidée par un cycle dédié aux EFT ?</w:t>
      </w:r>
    </w:p>
    <w:p>
      <w:pPr>
        <w:pStyle w:val="BodyText"/>
      </w:pPr>
      <w:r>
        <w:t xml:space="preserve">Ces questions orientent la suite.</w:t>
      </w:r>
    </w:p>
    <w:bookmarkEnd w:id="43"/>
    <w:bookmarkStart w:id="44" w:name="prochaine-étape-recommandée"/>
    <w:p>
      <w:pPr>
        <w:pStyle w:val="Heading2"/>
      </w:pPr>
      <w:r>
        <w:t xml:space="preserve">20. Prochaine étape recommandée</w:t>
      </w:r>
    </w:p>
    <w:p>
      <w:pPr>
        <w:pStyle w:val="FirstParagraph"/>
      </w:pPr>
      <w:r>
        <w:t xml:space="preserve">La prochaine étape la plus naturelle est de tester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puisqu’elle est désormais la dernière famille faible au niveau supérieur.</w:t>
      </w:r>
    </w:p>
    <w:p>
      <w:pPr>
        <w:pStyle w:val="BodyText"/>
      </w:pPr>
      <w:r>
        <w:t xml:space="preserve">Le test devra demander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ou bien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Les cas à tester peuvent être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comme relation stratifiée,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R=N_Ak_B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comme relation compositionnelle,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m^2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comme relation spectrale,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m_f=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comme relation constitutive de régime.</w:t>
      </w:r>
    </w:p>
    <w:p>
      <w:pPr>
        <w:pStyle w:val="BodyText"/>
      </w:pPr>
      <w:r>
        <w:t xml:space="preserve">Si ces cas partagent une fonction suffisamment claire, Relation survivra. Sinon, elle devra être rétrogradée.</w:t>
      </w:r>
    </w:p>
    <w:bookmarkEnd w:id="44"/>
    <w:bookmarkStart w:id="45" w:name="formule-de-clôture"/>
    <w:p>
      <w:pPr>
        <w:pStyle w:val="Heading2"/>
      </w:pPr>
      <w:r>
        <w:t xml:space="preserve">21. Formule de clôture</w:t>
      </w:r>
    </w:p>
    <w:p>
      <w:pPr>
        <w:pStyle w:val="FirstParagraph"/>
      </w:pPr>
      <w:r>
        <w:t xml:space="preserve">La formule de clôture de la v0.7 est :</w:t>
      </w:r>
    </w:p>
    <w:p>
      <w:pPr>
        <w:pStyle w:val="BodyText"/>
      </w:pPr>
      <w:r>
        <w:rPr>
          <w:b/>
          <w:bCs/>
        </w:rPr>
        <w:t xml:space="preserve">Toutes les distinctions utiles ne sont pas des familles. Certaines sont des fonctions, d’autres des architectures.</w:t>
      </w:r>
    </w:p>
    <w:p>
      <w:pPr>
        <w:pStyle w:val="BodyText"/>
      </w:pPr>
      <w:r>
        <w:t xml:space="preserve">Formule condensée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La carte gagne en maturité parce qu’elle apprend à changer le rang de ses propres catégories.</w:t>
      </w:r>
    </w:p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2026-07-09T06:33:16Z</dcterms:created>
  <dcterms:modified xsi:type="dcterms:W3CDTF">2026-07-09T06:33:16Z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