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cycle-effectif-basse-énergie-v0.1"/>
    <w:p>
      <w:pPr>
        <w:pStyle w:val="Heading1"/>
      </w:pPr>
      <w:r>
        <w:t xml:space="preserve">Cycle effectif basse énergie v0.1</w:t>
      </w:r>
    </w:p>
    <w:bookmarkStart w:id="20" w:name="cadrage-général-et-fiche-1-g_f"/>
    <w:p>
      <w:pPr>
        <w:pStyle w:val="Heading2"/>
      </w:pPr>
      <w:r>
        <w:t xml:space="preserve">Cadrage général et fiche 1 : (G_F)</w:t>
      </w:r>
    </w:p>
    <w:bookmarkEnd w:id="20"/>
    <w:bookmarkStart w:id="21" w:name="fonction-du-cycle"/>
    <w:p>
      <w:pPr>
        <w:pStyle w:val="Heading2"/>
      </w:pPr>
      <w:r>
        <w:t xml:space="preserve">1. Fonction du cycle</w:t>
      </w:r>
    </w:p>
    <w:p>
      <w:pPr>
        <w:pStyle w:val="FirstParagraph"/>
      </w:pPr>
      <w:r>
        <w:t xml:space="preserve">Le cycle</w:t>
      </w:r>
      <w:r>
        <w:t xml:space="preserve"> </w:t>
      </w:r>
      <w:r>
        <w:rPr>
          <w:b/>
          <w:bCs/>
        </w:rPr>
        <w:t xml:space="preserve">effectif basse énergie</w:t>
      </w:r>
      <w:r>
        <w:t xml:space="preserve"> </w:t>
      </w:r>
      <w:r>
        <w:t xml:space="preserve">teste l’une des architectures encore provisoires de la carte v0.8 :</w:t>
      </w:r>
    </w:p>
    <w:p>
      <w:pPr>
        <w:pStyle w:val="BodyText"/>
      </w:pPr>
      <w:r>
        <w:t xml:space="preserve">[</w:t>
      </w:r>
      <w:r>
        <w:br/>
      </w:r>
      <w:r>
        <w:br/>
      </w:r>
      <w:r>
        <w:t xml:space="preserve">]</w:t>
      </w:r>
    </w:p>
    <w:p>
      <w:pPr>
        <w:pStyle w:val="BodyText"/>
      </w:pPr>
      <w:r>
        <w:t xml:space="preserve">Cette architecture avait été formulée ainsi :</w:t>
      </w:r>
    </w:p>
    <w:p>
      <w:pPr>
        <w:pStyle w:val="BodyText"/>
      </w:pPr>
      <w:r>
        <w:br/>
      </w:r>
      <w:r>
        <w:t xml:space="preserve">+</w:t>
      </w:r>
      <w:r>
        <w:br/>
      </w:r>
      <w:r>
        <w:br/>
      </w:r>
      <w:r>
        <w:t xml:space="preserve">+</w:t>
      </w:r>
      <w:r>
        <w:br/>
      </w:r>
      <w:r>
        <w:br/>
      </w:r>
      <w:r>
        <w:t xml:space="preserve">+</w:t>
      </w:r>
      <w:r>
        <w:br/>
      </w:r>
      <w:r>
        <w:br/>
      </w:r>
      <w:r>
        <w:t xml:space="preserve">]</w:t>
      </w:r>
    </w:p>
    <w:p>
      <w:pPr>
        <w:pStyle w:val="BodyText"/>
      </w:pPr>
      <w:r>
        <w:t xml:space="preserve">Le cycle doit vérifier si cette architecture est réellement compressive, ou si elle ne fait que regrouper artificiellement des cas déjà classés ailleurs.</w:t>
      </w:r>
    </w:p>
    <w:p>
      <w:pPr>
        <w:pStyle w:val="BodyText"/>
      </w:pPr>
      <w:r>
        <w:t xml:space="preserve">Le test porte sur une question simple :</w:t>
      </w:r>
    </w:p>
    <w:p>
      <w:pPr>
        <w:pStyle w:val="BodyText"/>
      </w:pPr>
      <w:r>
        <w:rPr>
          <w:b/>
          <w:bCs/>
        </w:rPr>
        <w:t xml:space="preserve">qu’est-ce qui devient constant lorsqu’une description plus complète est remplacée, dans un domaine limité, par une description effective ?</w:t>
      </w:r>
    </w:p>
    <w:bookmarkEnd w:id="21"/>
    <w:bookmarkStart w:id="22" w:name="question-directrice"/>
    <w:p>
      <w:pPr>
        <w:pStyle w:val="Heading2"/>
      </w:pPr>
      <w:r>
        <w:t xml:space="preserve">2. Question directrice</w:t>
      </w:r>
    </w:p>
    <w:p>
      <w:pPr>
        <w:pStyle w:val="FirstParagraph"/>
      </w:pPr>
      <w:r>
        <w:t xml:space="preserve">Dans une description effective basse énergie, certaines grandeurs deviennent robustes non parce qu’elles seraient absolument fondamentales, mais parce qu’un régime d’énergie rend certains détails inaccessibles, négligeables ou condensables dans un coefficient.</w:t>
      </w:r>
    </w:p>
    <w:p>
      <w:pPr>
        <w:pStyle w:val="BodyText"/>
      </w:pPr>
      <w:r>
        <w:t xml:space="preserve">La question directrice est donc :</w:t>
      </w:r>
    </w:p>
    <w:p>
      <w:pPr>
        <w:pStyle w:val="BodyText"/>
      </w:pPr>
      <w:r>
        <w:t xml:space="preserve">[</w:t>
      </w:r>
      <w:r>
        <w:br/>
      </w:r>
      <w:r>
        <w:br/>
      </w:r>
      <w:r>
        <w:t xml:space="preserve">]</w:t>
      </w:r>
    </w:p>
    <w:p>
      <w:pPr>
        <w:pStyle w:val="BodyText"/>
      </w:pPr>
      <w:r>
        <w:t xml:space="preserve">Ou, plus précisément :</w:t>
      </w:r>
    </w:p>
    <w:p>
      <w:pPr>
        <w:pStyle w:val="BodyText"/>
      </w:pPr>
      <w:r>
        <w:t xml:space="preserve">[</w:t>
      </w:r>
      <w:r>
        <w:br/>
      </w:r>
      <w:r>
        <w:br/>
      </w:r>
      <w:r>
        <w:t xml:space="preserve">]</w:t>
      </w:r>
    </w:p>
    <w:p>
      <w:pPr>
        <w:pStyle w:val="BodyText"/>
      </w:pPr>
      <w:r>
        <w:t xml:space="preserve">Le terme</w:t>
      </w:r>
      <w:r>
        <w:t xml:space="preserve"> </w:t>
      </w:r>
      <w:r>
        <w:t xml:space="preserve">“effectif”</w:t>
      </w:r>
      <w:r>
        <w:t xml:space="preserve"> </w:t>
      </w:r>
      <w:r>
        <w:t xml:space="preserve">ne doit pas être compris comme</w:t>
      </w:r>
      <w:r>
        <w:t xml:space="preserve"> </w:t>
      </w:r>
      <w:r>
        <w:t xml:space="preserve">“moins réel”</w:t>
      </w:r>
      <w:r>
        <w:t xml:space="preserve">. Il signifie qu’une description est valide dans un domaine, avec des degrés de liberté, des coefficients et des échelles adaptés à ce domaine.</w:t>
      </w:r>
    </w:p>
    <w:bookmarkEnd w:id="22"/>
    <w:bookmarkStart w:id="23" w:name="corpus-du-cycle"/>
    <w:p>
      <w:pPr>
        <w:pStyle w:val="Heading2"/>
      </w:pPr>
      <w:r>
        <w:t xml:space="preserve">3. Corpus du cycle</w:t>
      </w:r>
    </w:p>
    <w:p>
      <w:pPr>
        <w:pStyle w:val="FirstParagraph"/>
      </w:pPr>
      <w:r>
        <w:t xml:space="preserve">Le cycle peut être organisé autour de quatre cas principaux :</w:t>
      </w:r>
    </w:p>
    <w:p>
      <w:pPr>
        <w:pStyle w:val="BodyText"/>
      </w:pPr>
      <w:r>
        <w:t xml:space="preserve">[</w:t>
      </w:r>
      <w:r>
        <w:br/>
      </w:r>
      <w:r>
        <w:t xml:space="preserve">G_F</w:t>
      </w:r>
      <w:r>
        <w:br/>
      </w:r>
      <w:r>
        <w:t xml:space="preserve">]</w:t>
      </w:r>
    </w:p>
    <w:p>
      <w:pPr>
        <w:pStyle w:val="BodyText"/>
      </w:pPr>
      <w:r>
        <w:t xml:space="preserve">comme constante de Fermi et coefficient effectif de l’interaction faible basse énergie ;</w:t>
      </w:r>
    </w:p>
    <w:p>
      <w:pPr>
        <w:pStyle w:val="BodyText"/>
      </w:pPr>
      <w:r>
        <w:t xml:space="preserve">[</w:t>
      </w:r>
      <w:r>
        <w:br/>
      </w:r>
      <w:r>
        <w:t xml:space="preserve">M_W</w:t>
      </w:r>
      <w:r>
        <w:br/>
      </w:r>
      <w:r>
        <w:t xml:space="preserve">]</w:t>
      </w:r>
    </w:p>
    <w:p>
      <w:pPr>
        <w:pStyle w:val="BodyText"/>
      </w:pPr>
      <w:r>
        <w:t xml:space="preserve">comme échelle électrofaible et seuil de validité de la théorie de Fermi ;</w:t>
      </w:r>
    </w:p>
    <w:p>
      <w:pPr>
        <w:pStyle w:val="BodyText"/>
      </w:pPr>
      <w:r>
        <w:t xml:space="preserve">[</w:t>
      </w:r>
      <w:r>
        <w:br/>
      </w:r>
      <w:r>
        <w:t xml:space="preserve">_s(Q^2),</w:t>
      </w:r>
      <w:r>
        <w:t xml:space="preserve">_{</w:t>
      </w:r>
      <w:r>
        <w:t xml:space="preserve">}</w:t>
      </w:r>
      <w:r>
        <w:br/>
      </w:r>
      <w:r>
        <w:t xml:space="preserve">]</w:t>
      </w:r>
    </w:p>
    <w:p>
      <w:pPr>
        <w:pStyle w:val="BodyText"/>
      </w:pPr>
      <w:r>
        <w:t xml:space="preserve">comme couplage courant et échelle dynamique de QCD ;</w:t>
      </w:r>
    </w:p>
    <w:p>
      <w:pPr>
        <w:pStyle w:val="BodyText"/>
      </w:pPr>
      <w:r>
        <w:t xml:space="preserve">[</w:t>
      </w:r>
      <w:r>
        <w:br/>
      </w:r>
      <w:r>
        <w:t xml:space="preserve">_G(E),</w:t>
      </w:r>
      <w:r>
        <w:t xml:space="preserve">M_{</w:t>
      </w:r>
      <w:r>
        <w:t xml:space="preserve">}</w:t>
      </w:r>
      <w:r>
        <w:br/>
      </w:r>
      <w:r>
        <w:t xml:space="preserve">]</w:t>
      </w:r>
    </w:p>
    <w:p>
      <w:pPr>
        <w:pStyle w:val="BodyText"/>
      </w:pPr>
      <w:r>
        <w:t xml:space="preserve">comme couplage gravitationnel effectif et échelle de Planck.</w:t>
      </w:r>
    </w:p>
    <w:p>
      <w:pPr>
        <w:pStyle w:val="BodyText"/>
      </w:pPr>
      <w:r>
        <w:t xml:space="preserve">Ces cas ne doivent pas être traités comme identiques. Leur intérêt est précisément qu’ils articulent différemment :</w:t>
      </w:r>
    </w:p>
    <w:p>
      <w:pPr>
        <w:pStyle w:val="BodyText"/>
      </w:pPr>
      <w:r>
        <w:t xml:space="preserve">[</w:t>
      </w:r>
      <w:r>
        <w:br/>
      </w:r>
      <w:r>
        <w:br/>
      </w:r>
      <w:r>
        <w:t xml:space="preserve">]</w:t>
      </w:r>
    </w:p>
    <w:p>
      <w:pPr>
        <w:pStyle w:val="BodyText"/>
      </w:pPr>
      <w:r>
        <w:t xml:space="preserve">[</w:t>
      </w:r>
      <w:r>
        <w:br/>
      </w:r>
      <w:r>
        <w:br/>
      </w:r>
      <w:r>
        <w:t xml:space="preserve">]</w:t>
      </w:r>
    </w:p>
    <w:p>
      <w:pPr>
        <w:pStyle w:val="BodyText"/>
      </w:pPr>
      <w:r>
        <w:t xml:space="preserve">[</w:t>
      </w:r>
      <w:r>
        <w:br/>
      </w:r>
      <w:r>
        <w:br/>
      </w:r>
      <w:r>
        <w:t xml:space="preserve">]</w:t>
      </w:r>
    </w:p>
    <w:p>
      <w:pPr>
        <w:pStyle w:val="BodyText"/>
      </w:pPr>
      <w:r>
        <w:t xml:space="preserve">[</w:t>
      </w:r>
      <w:r>
        <w:br/>
      </w:r>
      <w:r>
        <w:br/>
      </w:r>
      <w:r>
        <w:t xml:space="preserve">]</w:t>
      </w:r>
    </w:p>
    <w:p>
      <w:pPr>
        <w:pStyle w:val="BodyText"/>
      </w:pPr>
      <w:r>
        <w:t xml:space="preserve">et les fonctions transversales :</w:t>
      </w:r>
    </w:p>
    <w:p>
      <w:pPr>
        <w:pStyle w:val="BodyText"/>
      </w:pPr>
      <w:r>
        <w:t xml:space="preserve">[</w:t>
      </w:r>
      <w:r>
        <w:br/>
      </w:r>
      <w:r>
        <w:br/>
      </w:r>
      <w:r>
        <w:t xml:space="preserve">]</w:t>
      </w:r>
    </w:p>
    <w:p>
      <w:pPr>
        <w:pStyle w:val="BodyText"/>
      </w:pPr>
      <w:r>
        <w:t xml:space="preserve">[</w:t>
      </w:r>
      <w:r>
        <w:br/>
      </w:r>
      <w:r>
        <w:br/>
      </w:r>
      <w:r>
        <w:t xml:space="preserve">]</w:t>
      </w:r>
    </w:p>
    <w:p>
      <w:pPr>
        <w:pStyle w:val="BodyText"/>
      </w:pPr>
      <w:r>
        <w:t xml:space="preserve">[</w:t>
      </w:r>
      <w:r>
        <w:br/>
      </w:r>
      <w:r>
        <w:br/>
      </w:r>
      <w:r>
        <w:t xml:space="preserve">]</w:t>
      </w:r>
    </w:p>
    <w:bookmarkEnd w:id="23"/>
    <w:bookmarkStart w:id="24" w:name="hypothèse-testée"/>
    <w:p>
      <w:pPr>
        <w:pStyle w:val="Heading2"/>
      </w:pPr>
      <w:r>
        <w:t xml:space="preserve">4. Hypothèse testée</w:t>
      </w:r>
    </w:p>
    <w:p>
      <w:pPr>
        <w:pStyle w:val="FirstParagraph"/>
      </w:pPr>
      <w:r>
        <w:t xml:space="preserve">L’hypothèse du cycle est la suivante :</w:t>
      </w:r>
    </w:p>
    <w:p>
      <w:pPr>
        <w:pStyle w:val="BodyText"/>
      </w:pPr>
      <w:r>
        <w:rPr>
          <w:b/>
          <w:bCs/>
        </w:rPr>
        <w:t xml:space="preserve">Une architecture effective basse énergie apparaît lorsqu’un régime limité permet de remplacer une structure plus complète par une description plus simple, stabilisée par des coefficients, des échelles de validité et des couplages de régime.</w:t>
      </w:r>
    </w:p>
    <w:p>
      <w:pPr>
        <w:pStyle w:val="BodyText"/>
      </w:pPr>
      <w:r>
        <w:t xml:space="preserve">Cette hypothèse doit être testée, non présupposée.</w:t>
      </w:r>
    </w:p>
    <w:p>
      <w:pPr>
        <w:pStyle w:val="BodyText"/>
      </w:pPr>
      <w:r>
        <w:t xml:space="preserve">Elle sera confirmée si les différents cas montrent une même structure :</w:t>
      </w:r>
    </w:p>
    <w:p>
      <w:pPr>
        <w:pStyle w:val="BodyText"/>
      </w:pPr>
      <w:r>
        <w:t xml:space="preserve">[</w:t>
      </w:r>
      <w:r>
        <w:br/>
      </w:r>
      <w:r>
        <w:br/>
      </w:r>
      <w:r>
        <w:br/>
      </w:r>
      <w:r>
        <w:br/>
      </w:r>
      <w:r>
        <w:br/>
      </w:r>
      <w:r>
        <w:br/>
      </w:r>
      <w:r>
        <w:br/>
      </w:r>
      <w:r>
        <w:br/>
      </w:r>
      <w:r>
        <w:t xml:space="preserve">]</w:t>
      </w:r>
    </w:p>
    <w:p>
      <w:pPr>
        <w:pStyle w:val="BodyText"/>
      </w:pPr>
      <w:r>
        <w:t xml:space="preserve">Elle sera affaiblie si chaque cas relève uniquement d’une famille indépendante sans nécessité architecturale commune.</w:t>
      </w:r>
    </w:p>
    <w:bookmarkEnd w:id="24"/>
    <w:bookmarkStart w:id="25" w:name="pourquoi-commencer-par-g_f"/>
    <w:p>
      <w:pPr>
        <w:pStyle w:val="Heading2"/>
      </w:pPr>
      <w:r>
        <w:t xml:space="preserve">5. Pourquoi commencer par (G_F)</w:t>
      </w:r>
    </w:p>
    <w:p>
      <w:pPr>
        <w:pStyle w:val="FirstParagraph"/>
      </w:pPr>
      <w:r>
        <w:t xml:space="preserve">La constante de Fermi est le cas le plus pur de ce cycle.</w:t>
      </w:r>
    </w:p>
    <w:p>
      <w:pPr>
        <w:pStyle w:val="BodyText"/>
      </w:pPr>
      <w:r>
        <w:t xml:space="preserve">Elle n’est pas seulement une grandeur numérique. Elle condense, à basse énergie, l’effet d’une interaction faible médiée par des bosons massifs.</w:t>
      </w:r>
    </w:p>
    <w:p>
      <w:pPr>
        <w:pStyle w:val="BodyText"/>
      </w:pPr>
      <w:r>
        <w:t xml:space="preserve">Dans le Modèle standard, (G_F) est déterminée avec une très grande précision à partir de la durée de vie du muon ; une valeur couramment utilisée est :</w:t>
      </w:r>
    </w:p>
    <w:p>
      <w:pPr>
        <w:pStyle w:val="BodyText"/>
      </w:pPr>
      <w:r>
        <w:t xml:space="preserve">[</w:t>
      </w:r>
      <w:r>
        <w:br/>
      </w:r>
      <w:r>
        <w:t xml:space="preserve">G_F = 1.1663787(6)</w:t>
      </w:r>
      <w:r>
        <w:rPr>
          <w:vertAlign w:val="superscript"/>
        </w:rPr>
        <w:t xml:space="preserve">{-5} </w:t>
      </w:r>
      <w:r>
        <w:t xml:space="preserve">{-2}</w:t>
      </w:r>
      <w:r>
        <w:br/>
      </w:r>
      <w:r>
        <w:t xml:space="preserve">]</w:t>
      </w:r>
    </w:p>
    <w:p>
      <w:pPr>
        <w:pStyle w:val="BodyText"/>
      </w:pPr>
      <w:r>
        <w:t xml:space="preserve">avec une précision de l’ordre de (0.5) ppm dans cette extraction.</w:t>
      </w:r>
    </w:p>
    <w:p>
      <w:pPr>
        <w:pStyle w:val="BodyText"/>
      </w:pPr>
      <w:r>
        <w:t xml:space="preserve">Le point important pour la carte n’est pas seulement cette précision. Le point important est le statut de (G_F) : c’est une constante de raccordement effectif.</w:t>
      </w:r>
    </w:p>
    <w:bookmarkEnd w:id="25"/>
    <w:bookmarkStart w:id="27" w:name="fiche-1-g_f"/>
    <w:p>
      <w:pPr>
        <w:pStyle w:val="Heading2"/>
      </w:pPr>
      <w:r>
        <w:t xml:space="preserve">6. Fiche 1 — (G_F)</w:t>
      </w:r>
    </w:p>
    <w:bookmarkStart w:id="26" w:name="identification"/>
    <w:p>
      <w:pPr>
        <w:pStyle w:val="Heading3"/>
      </w:pPr>
      <w:r>
        <w:t xml:space="preserve">6.1 Identification</w:t>
      </w:r>
    </w:p>
    <w:p>
      <w:pPr>
        <w:pStyle w:val="FirstParagraph"/>
      </w:pPr>
      <w:r>
        <w:t xml:space="preserve">Grandeur :</w:t>
      </w:r>
    </w:p>
    <w:p>
      <w:pPr>
        <w:pStyle w:val="BodyText"/>
      </w:pPr>
      <w:r>
        <w:t xml:space="preserve">[</w:t>
      </w:r>
      <w:r>
        <w:br/>
      </w:r>
      <w:r>
        <w:t xml:space="preserve">G_F</w:t>
      </w:r>
      <w:r>
        <w:br/>
      </w:r>
      <w:r>
        <w:t xml:space="preserve">]</w:t>
      </w:r>
    </w:p>
    <w:p>
      <w:pPr>
        <w:pStyle w:val="BodyText"/>
      </w:pPr>
      <w:r>
        <w:t xml:space="preserve">Nom :</w:t>
      </w:r>
    </w:p>
    <w:p>
      <w:pPr>
        <w:pStyle w:val="BodyText"/>
      </w:pPr>
      <w:r>
        <w:t xml:space="preserve">[</w:t>
      </w:r>
      <w:r>
        <w:br/>
      </w:r>
      <w:r>
        <w:br/>
      </w:r>
      <w:r>
        <w:t xml:space="preserve">]</w:t>
      </w:r>
    </w:p>
    <w:p>
      <w:pPr>
        <w:pStyle w:val="BodyText"/>
      </w:pPr>
      <w:r>
        <w:t xml:space="preserve">Type logique :</w:t>
      </w:r>
    </w:p>
    <w:p>
      <w:pPr>
        <w:pStyle w:val="BodyText"/>
      </w:pPr>
      <w:r>
        <w:t xml:space="preserve">[</w:t>
      </w:r>
      <w:r>
        <w:br/>
      </w:r>
      <w:r>
        <w:br/>
      </w:r>
      <w:r>
        <w:t xml:space="preserve">]</w:t>
      </w:r>
    </w:p>
    <w:p>
      <w:pPr>
        <w:pStyle w:val="BodyText"/>
      </w:pPr>
      <w:r>
        <w:t xml:space="preserve">Dimension naturelle :</w:t>
      </w:r>
    </w:p>
    <w:p>
      <w:pPr>
        <w:pStyle w:val="BodyText"/>
      </w:pPr>
      <w:r>
        <w:t xml:space="preserve">[</w:t>
      </w:r>
      <w:r>
        <w:br/>
      </w:r>
      <w:r>
        <w:t xml:space="preserve">[E]^{-2}</w:t>
      </w:r>
      <w:r>
        <w:br/>
      </w:r>
      <w:r>
        <w:t xml:space="preserve">]</w:t>
      </w:r>
    </w:p>
    <w:p>
      <w:pPr>
        <w:pStyle w:val="BodyText"/>
      </w:pPr>
      <w:r>
        <w:t xml:space="preserve">Famille principale :</w:t>
      </w:r>
    </w:p>
    <w:p>
      <w:pPr>
        <w:pStyle w:val="BodyText"/>
      </w:pPr>
      <w:r>
        <w:t xml:space="preserve">[</w:t>
      </w:r>
      <w:r>
        <w:br/>
      </w:r>
      <w:r>
        <w:br/>
      </w:r>
      <w:r>
        <w:t xml:space="preserve">]</w:t>
      </w:r>
    </w:p>
    <w:p>
      <w:pPr>
        <w:pStyle w:val="BodyText"/>
      </w:pPr>
      <w:r>
        <w:t xml:space="preserve">Sous-type :</w:t>
      </w:r>
    </w:p>
    <w:p>
      <w:pPr>
        <w:pStyle w:val="BodyText"/>
      </w:pPr>
      <w:r>
        <w:t xml:space="preserve">[</w:t>
      </w:r>
      <w:r>
        <w:br/>
      </w:r>
      <w:r>
        <w:br/>
      </w:r>
      <w:r>
        <w:t xml:space="preserve">]</w:t>
      </w:r>
    </w:p>
    <w:p>
      <w:pPr>
        <w:pStyle w:val="BodyText"/>
      </w:pPr>
      <w:r>
        <w:t xml:space="preserve">Architecture :</w:t>
      </w:r>
    </w:p>
    <w:p>
      <w:pPr>
        <w:pStyle w:val="BodyText"/>
      </w:pPr>
      <w:r>
        <w:t xml:space="preserve">[</w:t>
      </w:r>
      <w:r>
        <w:br/>
      </w:r>
      <w:r>
        <w:br/>
      </w:r>
      <w:r>
        <w:t xml:space="preserve">]</w:t>
      </w:r>
    </w:p>
    <w:bookmarkEnd w:id="26"/>
    <w:bookmarkEnd w:id="27"/>
    <w:bookmarkStart w:id="28" w:name="régime-de-définition-physique"/>
    <w:p>
      <w:pPr>
        <w:pStyle w:val="Heading2"/>
      </w:pPr>
      <w:r>
        <w:t xml:space="preserve">7. Régime de définition physique</w:t>
      </w:r>
    </w:p>
    <w:p>
      <w:pPr>
        <w:pStyle w:val="FirstParagraph"/>
      </w:pPr>
      <w:r>
        <w:t xml:space="preserve">Le régime physique de (G_F) est celui des processus faibles à basse énergie, lorsque les énergies ou transferts d’impulsion considérés sont très inférieurs à la masse du boson (W) :</w:t>
      </w:r>
    </w:p>
    <w:p>
      <w:pPr>
        <w:pStyle w:val="BodyText"/>
      </w:pPr>
      <w:r>
        <w:t xml:space="preserve">[</w:t>
      </w:r>
      <w:r>
        <w:br/>
      </w:r>
      <w:r>
        <w:t xml:space="preserve">E</w:t>
      </w:r>
      <w:r>
        <w:t xml:space="preserve">M_W</w:t>
      </w:r>
      <w:r>
        <w:br/>
      </w:r>
      <w:r>
        <w:t xml:space="preserve">]</w:t>
      </w:r>
    </w:p>
    <w:p>
      <w:pPr>
        <w:pStyle w:val="BodyText"/>
      </w:pPr>
      <w:r>
        <w:t xml:space="preserve">Dans ce régime, l’interaction faible peut être représentée par une interaction locale à quatre fermions. Les détails du propagateur du boson (W) ne sont pas résolus directement ; ils sont condensés dans un coefficient effectif.</w:t>
      </w:r>
    </w:p>
    <w:p>
      <w:pPr>
        <w:pStyle w:val="BodyText"/>
      </w:pPr>
      <w:r>
        <w:t xml:space="preserve">La structure générale est :</w:t>
      </w:r>
    </w:p>
    <w:p>
      <w:pPr>
        <w:pStyle w:val="BodyText"/>
      </w:pPr>
      <w:r>
        <w:t xml:space="preserve">[</w:t>
      </w:r>
      <w:r>
        <w:br/>
      </w:r>
      <w:r>
        <w:t xml:space="preserve"> </w:t>
      </w:r>
      <w:r>
        <w:t xml:space="preserve">W</w:t>
      </w:r>
      <w:r>
        <w:br/>
      </w:r>
      <w:r>
        <w:t xml:space="preserve">]</w:t>
      </w:r>
    </w:p>
    <w:p>
      <w:pPr>
        <w:pStyle w:val="BodyText"/>
      </w:pPr>
      <w:r>
        <w:t xml:space="preserve">[</w:t>
      </w:r>
      <w:r>
        <w:br/>
      </w:r>
      <w:r>
        <w:br/>
      </w:r>
      <w:r>
        <w:t xml:space="preserve">]</w:t>
      </w:r>
    </w:p>
    <w:p>
      <w:pPr>
        <w:pStyle w:val="BodyText"/>
      </w:pPr>
      <w:r>
        <w:t xml:space="preserve">[</w:t>
      </w:r>
      <w:r>
        <w:br/>
      </w:r>
      <w:r>
        <w:br/>
      </w:r>
      <w:r>
        <w:t xml:space="preserve">]</w:t>
      </w:r>
    </w:p>
    <w:p>
      <w:pPr>
        <w:pStyle w:val="BodyText"/>
      </w:pPr>
      <w:r>
        <w:t xml:space="preserve">[</w:t>
      </w:r>
      <w:r>
        <w:br/>
      </w:r>
      <w:r>
        <w:br/>
      </w:r>
      <w:r>
        <w:t xml:space="preserve">]</w:t>
      </w:r>
    </w:p>
    <w:p>
      <w:pPr>
        <w:pStyle w:val="BodyText"/>
      </w:pPr>
      <w:r>
        <w:t xml:space="preserve">[</w:t>
      </w:r>
      <w:r>
        <w:br/>
      </w:r>
      <w:r>
        <w:br/>
      </w:r>
      <w:r>
        <w:t xml:space="preserve">]</w:t>
      </w:r>
    </w:p>
    <w:p>
      <w:pPr>
        <w:pStyle w:val="BodyText"/>
      </w:pPr>
      <w:r>
        <w:t xml:space="preserve">La théorie de Fermi est l’un des exemples classiques de théorie effective : elle décrit avec succès les désintégrations faibles à basse énergie, avant que la théorie électrofaible complète n’en donne la description médiée par les bosons (W^</w:t>
      </w:r>
      <w:r>
        <w:t xml:space="preserve">).</w:t>
      </w:r>
    </w:p>
    <w:bookmarkEnd w:id="28"/>
    <w:bookmarkStart w:id="29" w:name="régime-daccès-épistémique"/>
    <w:p>
      <w:pPr>
        <w:pStyle w:val="Heading2"/>
      </w:pPr>
      <w:r>
        <w:t xml:space="preserve">8. Régime d’accès épistémique</w:t>
      </w:r>
    </w:p>
    <w:p>
      <w:pPr>
        <w:pStyle w:val="FirstParagraph"/>
      </w:pPr>
      <w:r>
        <w:t xml:space="preserve">Le régime d’accès principal de (G_F) est la mesure de la durée de vie du muon.</w:t>
      </w:r>
    </w:p>
    <w:p>
      <w:pPr>
        <w:pStyle w:val="BodyText"/>
      </w:pPr>
      <w:r>
        <w:t xml:space="preserve">Dans le Modèle standard, la durée de vie du muon permet de définir et déterminer (G_F), avec des corrections de phase d’espace, QED et hadroniques. Une formulation usuelle relie le taux de désintégration du muon à :</w:t>
      </w:r>
    </w:p>
    <w:p>
      <w:pPr>
        <w:pStyle w:val="BodyText"/>
      </w:pPr>
      <w:r>
        <w:t xml:space="preserve">[</w:t>
      </w:r>
      <w:r>
        <w:br/>
      </w:r>
      <w:r>
        <w:t xml:space="preserve">(G_F)</w:t>
      </w:r>
      <w:r>
        <w:rPr>
          <w:vertAlign w:val="superscript"/>
        </w:rPr>
        <w:t xml:space="preserve">2m_</w:t>
      </w:r>
      <w:r>
        <w:t xml:space="preserve">5</w:t>
      </w:r>
      <w:r>
        <w:br/>
      </w:r>
      <w:r>
        <w:t xml:space="preserve">]</w:t>
      </w:r>
    </w:p>
    <w:p>
      <w:pPr>
        <w:pStyle w:val="BodyText"/>
      </w:pPr>
      <w:r>
        <w:t xml:space="preserve">avec des corrections incluses dans un terme (</w:t>
      </w:r>
      <w:r>
        <w:t xml:space="preserve">q).</w:t>
      </w:r>
    </w:p>
    <w:p>
      <w:pPr>
        <w:pStyle w:val="BodyText"/>
      </w:pPr>
      <w:r>
        <w:t xml:space="preserve">Il faut donc distinguer deux choses :</w:t>
      </w:r>
    </w:p>
    <w:p>
      <w:pPr>
        <w:pStyle w:val="BodyText"/>
      </w:pPr>
      <w:r>
        <w:br/>
      </w:r>
      <w:r>
        <w:t xml:space="preserve">]</w:t>
      </w:r>
    </w:p>
    <w:p>
      <w:pPr>
        <w:pStyle w:val="BodyText"/>
      </w:pPr>
      <w:r>
        <w:br/>
      </w:r>
      <w:r>
        <w:t xml:space="preserve">]</w:t>
      </w:r>
    </w:p>
    <w:p>
      <w:pPr>
        <w:pStyle w:val="BodyText"/>
      </w:pPr>
      <w:r>
        <w:t xml:space="preserve">Cette distinction est décisive pour la méthode. Le muon n’est pas le régime physique complet de (G_F). Il est le canal d’accès le plus précis.</w:t>
      </w:r>
    </w:p>
    <w:bookmarkEnd w:id="29"/>
    <w:bookmarkStart w:id="30" w:name="fonction-physique"/>
    <w:p>
      <w:pPr>
        <w:pStyle w:val="Heading2"/>
      </w:pPr>
      <w:r>
        <w:t xml:space="preserve">9. Fonction physique</w:t>
      </w:r>
    </w:p>
    <w:p>
      <w:pPr>
        <w:pStyle w:val="FirstParagraph"/>
      </w:pPr>
      <w:r>
        <w:t xml:space="preserve">La fonction de (G_F) est de raccorder deux descriptions.</w:t>
      </w:r>
    </w:p>
    <w:p>
      <w:pPr>
        <w:pStyle w:val="BodyText"/>
      </w:pPr>
      <w:r>
        <w:t xml:space="preserve">D’un côté :</w:t>
      </w:r>
    </w:p>
    <w:p>
      <w:pPr>
        <w:pStyle w:val="BodyText"/>
      </w:pPr>
      <w:r>
        <w:t xml:space="preserve">[</w:t>
      </w:r>
      <w:r>
        <w:br/>
      </w:r>
      <w:r>
        <w:br/>
      </w:r>
      <w:r>
        <w:t xml:space="preserve">]</w:t>
      </w:r>
    </w:p>
    <w:p>
      <w:pPr>
        <w:pStyle w:val="BodyText"/>
      </w:pPr>
      <w:r>
        <w:t xml:space="preserve">où l’interaction faible apparaît comme locale.</w:t>
      </w:r>
    </w:p>
    <w:p>
      <w:pPr>
        <w:pStyle w:val="BodyText"/>
      </w:pPr>
      <w:r>
        <w:t xml:space="preserve">De l’autre :</w:t>
      </w:r>
    </w:p>
    <w:p>
      <w:pPr>
        <w:pStyle w:val="BodyText"/>
      </w:pPr>
      <w:r>
        <w:t xml:space="preserve">[</w:t>
      </w:r>
      <w:r>
        <w:br/>
      </w:r>
      <w:r>
        <w:br/>
      </w:r>
      <w:r>
        <w:t xml:space="preserve">]</w:t>
      </w:r>
    </w:p>
    <w:p>
      <w:pPr>
        <w:pStyle w:val="BodyText"/>
      </w:pPr>
      <w:r>
        <w:t xml:space="preserve">où l’interaction est médiée par le boson (W).</w:t>
      </w:r>
    </w:p>
    <w:p>
      <w:pPr>
        <w:pStyle w:val="BodyText"/>
      </w:pPr>
      <w:r>
        <w:t xml:space="preserve">Au niveau arbre, la relation structurante est :</w:t>
      </w:r>
    </w:p>
    <w:p>
      <w:pPr>
        <w:pStyle w:val="BodyText"/>
      </w:pPr>
      <w:r>
        <w:t xml:space="preserve">[</w:t>
      </w:r>
      <w:r>
        <w:br/>
      </w:r>
      <w:r>
        <w:t xml:space="preserve">=</w:t>
      </w:r>
      <w:r>
        <w:br/>
      </w:r>
      <w:r>
        <w:t xml:space="preserve">]</w:t>
      </w:r>
    </w:p>
    <w:p>
      <w:pPr>
        <w:pStyle w:val="BodyText"/>
      </w:pPr>
      <w:r>
        <w:t xml:space="preserve">et aussi :</w:t>
      </w:r>
    </w:p>
    <w:p>
      <w:pPr>
        <w:pStyle w:val="BodyText"/>
      </w:pPr>
      <w:r>
        <w:t xml:space="preserve">[</w:t>
      </w:r>
      <w:r>
        <w:br/>
      </w:r>
      <w:r>
        <w:t xml:space="preserve">=</w:t>
      </w:r>
      <w:r>
        <w:br/>
      </w:r>
      <w:r>
        <w:t xml:space="preserve">]</w:t>
      </w:r>
    </w:p>
    <w:p>
      <w:pPr>
        <w:pStyle w:val="BodyText"/>
      </w:pPr>
      <w:r>
        <w:t xml:space="preserve">dans la lecture électrofaible usuelle.</w:t>
      </w:r>
    </w:p>
    <w:p>
      <w:pPr>
        <w:pStyle w:val="BodyText"/>
      </w:pPr>
      <w:r>
        <w:t xml:space="preserve">Cela montre que (G_F) n’est pas une constante isolée. Elle condense une relation entre :</w:t>
      </w:r>
    </w:p>
    <w:p>
      <w:pPr>
        <w:pStyle w:val="BodyText"/>
      </w:pPr>
      <w:r>
        <w:t xml:space="preserve">[</w:t>
      </w:r>
      <w:r>
        <w:br/>
      </w:r>
      <w:r>
        <w:t xml:space="preserve">g</w:t>
      </w:r>
      <w:r>
        <w:br/>
      </w:r>
      <w:r>
        <w:t xml:space="preserve">]</w:t>
      </w:r>
    </w:p>
    <w:p>
      <w:pPr>
        <w:pStyle w:val="BodyText"/>
      </w:pPr>
      <w:r>
        <w:t xml:space="preserve">couplage faible,</w:t>
      </w:r>
    </w:p>
    <w:p>
      <w:pPr>
        <w:pStyle w:val="BodyText"/>
      </w:pPr>
      <w:r>
        <w:t xml:space="preserve">[</w:t>
      </w:r>
      <w:r>
        <w:br/>
      </w:r>
      <w:r>
        <w:t xml:space="preserve">M_W</w:t>
      </w:r>
      <w:r>
        <w:br/>
      </w:r>
      <w:r>
        <w:t xml:space="preserve">]</w:t>
      </w:r>
    </w:p>
    <w:p>
      <w:pPr>
        <w:pStyle w:val="BodyText"/>
      </w:pPr>
      <w:r>
        <w:t xml:space="preserve">masse du boson médiateur,</w:t>
      </w:r>
    </w:p>
    <w:p>
      <w:pPr>
        <w:pStyle w:val="BodyText"/>
      </w:pPr>
      <w:r>
        <w:t xml:space="preserve">et :</w:t>
      </w:r>
    </w:p>
    <w:p>
      <w:pPr>
        <w:pStyle w:val="BodyText"/>
      </w:pPr>
      <w:r>
        <w:t xml:space="preserve">[</w:t>
      </w:r>
      <w:r>
        <w:br/>
      </w:r>
      <w:r>
        <w:t xml:space="preserve">v</w:t>
      </w:r>
      <w:r>
        <w:br/>
      </w:r>
      <w:r>
        <w:t xml:space="preserve">]</w:t>
      </w:r>
    </w:p>
    <w:p>
      <w:pPr>
        <w:pStyle w:val="BodyText"/>
      </w:pPr>
      <w:r>
        <w:t xml:space="preserve">échelle électrofaible.</w:t>
      </w:r>
    </w:p>
    <w:p>
      <w:pPr>
        <w:pStyle w:val="BodyText"/>
      </w:pPr>
      <w:r>
        <w:t xml:space="preserve">Mais sa famille principale n’est pas Relation. La relation existe, mais la fonction principale est le raccordement.</w:t>
      </w:r>
    </w:p>
    <w:p>
      <w:pPr>
        <w:pStyle w:val="BodyText"/>
      </w:pPr>
      <w:r>
        <w:t xml:space="preserve">Formule :</w:t>
      </w:r>
    </w:p>
    <w:p>
      <w:pPr>
        <w:pStyle w:val="BodyText"/>
      </w:pPr>
      <w:r>
        <w:br/>
      </w:r>
      <w:r>
        <w:t xml:space="preserve">]</w:t>
      </w:r>
    </w:p>
    <w:bookmarkEnd w:id="30"/>
    <w:bookmarkStart w:id="31" w:name="famille-principale-raccordement"/>
    <w:p>
      <w:pPr>
        <w:pStyle w:val="Heading2"/>
      </w:pPr>
      <w:r>
        <w:t xml:space="preserve">10. Famille principale : Raccordement</w:t>
      </w:r>
    </w:p>
    <w:p>
      <w:pPr>
        <w:pStyle w:val="FirstParagraph"/>
      </w:pPr>
      <w:r>
        <w:t xml:space="preserve">La famille correcte pour (G_F) est :</w:t>
      </w:r>
    </w:p>
    <w:p>
      <w:pPr>
        <w:pStyle w:val="BodyText"/>
      </w:pPr>
      <w:r>
        <w:t xml:space="preserve">[</w:t>
      </w:r>
      <w:r>
        <w:br/>
      </w:r>
      <w:r>
        <w:br/>
      </w:r>
      <w:r>
        <w:t xml:space="preserve">]</w:t>
      </w:r>
    </w:p>
    <w:p>
      <w:pPr>
        <w:pStyle w:val="BodyText"/>
      </w:pPr>
      <w:r>
        <w:t xml:space="preserve">et non :</w:t>
      </w:r>
    </w:p>
    <w:p>
      <w:pPr>
        <w:pStyle w:val="BodyText"/>
      </w:pPr>
      <w:r>
        <w:t xml:space="preserve">[</w:t>
      </w:r>
      <w:r>
        <w:br/>
      </w:r>
      <w:r>
        <w:br/>
      </w:r>
      <w:r>
        <w:t xml:space="preserve">]</w:t>
      </w:r>
    </w:p>
    <w:p>
      <w:pPr>
        <w:pStyle w:val="BodyText"/>
      </w:pPr>
      <w:r>
        <w:t xml:space="preserve">même si (G_F^{-1/2}) définit une échelle,</w:t>
      </w:r>
    </w:p>
    <w:p>
      <w:pPr>
        <w:pStyle w:val="BodyText"/>
      </w:pPr>
      <w:r>
        <w:t xml:space="preserve">ni :</w:t>
      </w:r>
    </w:p>
    <w:p>
      <w:pPr>
        <w:pStyle w:val="BodyText"/>
      </w:pPr>
      <w:r>
        <w:t xml:space="preserve">[</w:t>
      </w:r>
      <w:r>
        <w:br/>
      </w:r>
      <w:r>
        <w:br/>
      </w:r>
      <w:r>
        <w:t xml:space="preserve">]</w:t>
      </w:r>
    </w:p>
    <w:p>
      <w:pPr>
        <w:pStyle w:val="BodyText"/>
      </w:pPr>
      <w:r>
        <w:t xml:space="preserve">même si (G_F) est reliée à (g), (M_W) et (v),</w:t>
      </w:r>
    </w:p>
    <w:p>
      <w:pPr>
        <w:pStyle w:val="BodyText"/>
      </w:pPr>
      <w:r>
        <w:t xml:space="preserve">ni :</w:t>
      </w:r>
    </w:p>
    <w:p>
      <w:pPr>
        <w:pStyle w:val="BodyText"/>
      </w:pPr>
      <w:r>
        <w:t xml:space="preserve">[</w:t>
      </w:r>
      <w:r>
        <w:br/>
      </w:r>
      <w:r>
        <w:br/>
      </w:r>
      <w:r>
        <w:t xml:space="preserve">]</w:t>
      </w:r>
    </w:p>
    <w:p>
      <w:pPr>
        <w:pStyle w:val="BodyText"/>
      </w:pPr>
      <w:r>
        <w:t xml:space="preserve">puisque sa valeur n’est pas fixée par définition métrologique.</w:t>
      </w:r>
    </w:p>
    <w:p>
      <w:pPr>
        <w:pStyle w:val="BodyText"/>
      </w:pPr>
      <w:r>
        <w:t xml:space="preserve">Le rôle premier de (G_F) est de permettre le passage contrôlé entre deux descriptions :</w:t>
      </w:r>
    </w:p>
    <w:p>
      <w:pPr>
        <w:pStyle w:val="BodyText"/>
      </w:pPr>
      <w:r>
        <w:t xml:space="preserve">[</w:t>
      </w:r>
      <w:r>
        <w:br/>
      </w:r>
      <w:r>
        <w:br/>
      </w:r>
      <w:r>
        <w:t xml:space="preserve">]</w:t>
      </w:r>
    </w:p>
    <w:p>
      <w:pPr>
        <w:pStyle w:val="BodyText"/>
      </w:pPr>
      <w:r>
        <w:t xml:space="preserve">et :</w:t>
      </w:r>
    </w:p>
    <w:p>
      <w:pPr>
        <w:pStyle w:val="BodyText"/>
      </w:pPr>
      <w:r>
        <w:t xml:space="preserve">[</w:t>
      </w:r>
      <w:r>
        <w:br/>
      </w:r>
      <w:r>
        <w:br/>
      </w:r>
      <w:r>
        <w:t xml:space="preserve">]</w:t>
      </w:r>
    </w:p>
    <w:p>
      <w:pPr>
        <w:pStyle w:val="BodyText"/>
      </w:pPr>
      <w:r>
        <w:t xml:space="preserve">C’est donc le cas central de la famille :</w:t>
      </w:r>
    </w:p>
    <w:p>
      <w:pPr>
        <w:pStyle w:val="BodyText"/>
      </w:pPr>
      <w:r>
        <w:t xml:space="preserve">[</w:t>
      </w:r>
      <w:r>
        <w:br/>
      </w:r>
      <w:r>
        <w:br/>
      </w:r>
      <w:r>
        <w:t xml:space="preserve">]</w:t>
      </w:r>
    </w:p>
    <w:bookmarkEnd w:id="31"/>
    <w:bookmarkStart w:id="35" w:name="fonctions-transversales"/>
    <w:p>
      <w:pPr>
        <w:pStyle w:val="Heading2"/>
      </w:pPr>
      <w:r>
        <w:t xml:space="preserve">11. Fonctions transversales</w:t>
      </w:r>
    </w:p>
    <w:p>
      <w:pPr>
        <w:pStyle w:val="FirstParagraph"/>
      </w:pPr>
      <w:r>
        <w:t xml:space="preserve">(G_F) possède plusieurs fonctions transversales.</w:t>
      </w:r>
    </w:p>
    <w:bookmarkStart w:id="32" w:name="validité"/>
    <w:p>
      <w:pPr>
        <w:pStyle w:val="Heading3"/>
      </w:pPr>
      <w:r>
        <w:t xml:space="preserve">11.1 Validité</w:t>
      </w:r>
    </w:p>
    <w:p>
      <w:pPr>
        <w:pStyle w:val="FirstParagraph"/>
      </w:pPr>
      <w:r>
        <w:t xml:space="preserve">(G_F) n’a de sens effectif simple que dans un régime où :</w:t>
      </w:r>
    </w:p>
    <w:p>
      <w:pPr>
        <w:pStyle w:val="BodyText"/>
      </w:pPr>
      <w:r>
        <w:t xml:space="preserve">[</w:t>
      </w:r>
      <w:r>
        <w:br/>
      </w:r>
      <w:r>
        <w:t xml:space="preserve">E</w:t>
      </w:r>
      <w:r>
        <w:t xml:space="preserve">M_W</w:t>
      </w:r>
      <w:r>
        <w:br/>
      </w:r>
      <w:r>
        <w:t xml:space="preserve">]</w:t>
      </w:r>
    </w:p>
    <w:p>
      <w:pPr>
        <w:pStyle w:val="BodyText"/>
      </w:pPr>
      <w:r>
        <w:t xml:space="preserve">La fonction de validité est portée principalement par (M_W), mais (G_F) en est le coefficient effectif.</w:t>
      </w:r>
    </w:p>
    <w:bookmarkEnd w:id="32"/>
    <w:bookmarkStart w:id="33" w:name="hiérarchie"/>
    <w:p>
      <w:pPr>
        <w:pStyle w:val="Heading3"/>
      </w:pPr>
      <w:r>
        <w:t xml:space="preserve">11.2 Hiérarchie</w:t>
      </w:r>
    </w:p>
    <w:p>
      <w:pPr>
        <w:pStyle w:val="FirstParagraph"/>
      </w:pPr>
      <w:r>
        <w:t xml:space="preserve">La dimension :</w:t>
      </w:r>
    </w:p>
    <w:p>
      <w:pPr>
        <w:pStyle w:val="BodyText"/>
      </w:pPr>
      <w:r>
        <w:t xml:space="preserve">[</w:t>
      </w:r>
      <w:r>
        <w:br/>
      </w:r>
      <w:r>
        <w:t xml:space="preserve">[E]^{-2}</w:t>
      </w:r>
      <w:r>
        <w:br/>
      </w:r>
      <w:r>
        <w:t xml:space="preserve">]</w:t>
      </w:r>
    </w:p>
    <w:p>
      <w:pPr>
        <w:pStyle w:val="BodyText"/>
      </w:pPr>
      <w:r>
        <w:t xml:space="preserve">indique qu’à mesure que l’énergie augmente, l’approximation locale devient insuffisante. Le coefficient effectif signale donc implicitement une hiérarchie entre basse énergie et échelle électrofaible.</w:t>
      </w:r>
    </w:p>
    <w:bookmarkEnd w:id="33"/>
    <w:bookmarkStart w:id="34" w:name="échelle-dérivée"/>
    <w:p>
      <w:pPr>
        <w:pStyle w:val="Heading3"/>
      </w:pPr>
      <w:r>
        <w:t xml:space="preserve">11.3 Échelle dérivée</w:t>
      </w:r>
    </w:p>
    <w:p>
      <w:pPr>
        <w:pStyle w:val="FirstParagraph"/>
      </w:pPr>
      <w:r>
        <w:t xml:space="preserve">La grandeur :</w:t>
      </w:r>
    </w:p>
    <w:p>
      <w:pPr>
        <w:pStyle w:val="BodyText"/>
      </w:pPr>
      <w:r>
        <w:t xml:space="preserve">[</w:t>
      </w:r>
      <w:r>
        <w:br/>
      </w:r>
      <w:r>
        <w:t xml:space="preserve">G_F^{-1/2}</w:t>
      </w:r>
      <w:r>
        <w:br/>
      </w:r>
      <w:r>
        <w:t xml:space="preserve">]</w:t>
      </w:r>
    </w:p>
    <w:p>
      <w:pPr>
        <w:pStyle w:val="BodyText"/>
      </w:pPr>
      <w:r>
        <w:t xml:space="preserve">peut être lue comme une échelle faible effective.</w:t>
      </w:r>
    </w:p>
    <w:p>
      <w:pPr>
        <w:pStyle w:val="BodyText"/>
      </w:pPr>
      <w:r>
        <w:t xml:space="preserve">Mais cette échelle est dérivée de la fonction de raccordement. Elle ne doit pas remplacer la famille principale.</w:t>
      </w:r>
    </w:p>
    <w:bookmarkEnd w:id="34"/>
    <w:bookmarkEnd w:id="35"/>
    <w:bookmarkStart w:id="38" w:name="stabilisation"/>
    <w:p>
      <w:pPr>
        <w:pStyle w:val="Heading2"/>
      </w:pPr>
      <w:r>
        <w:t xml:space="preserve">12. Stabilisation</w:t>
      </w:r>
    </w:p>
    <w:bookmarkStart w:id="36" w:name="stabilisation-empirique"/>
    <w:p>
      <w:pPr>
        <w:pStyle w:val="Heading3"/>
      </w:pPr>
      <w:r>
        <w:t xml:space="preserve">12.1 Stabilisation empirique</w:t>
      </w:r>
    </w:p>
    <w:p>
      <w:pPr>
        <w:pStyle w:val="FirstParagraph"/>
      </w:pPr>
      <w:r>
        <w:t xml:space="preserve">(G_F) est très fortement stabilisée par la mesure de la durée de vie du muon.</w:t>
      </w:r>
    </w:p>
    <w:p>
      <w:pPr>
        <w:pStyle w:val="BodyText"/>
      </w:pPr>
      <w:r>
        <w:t xml:space="preserve">Mais cette stabilisation très forte ne doit pas masquer un point conceptuel : la valeur extraite peut aussi servir à tester la cohérence du Modèle standard ou à chercher des contributions de nouvelle physique. Certains travaux comparent l’extraction par durée de vie du muon à des déterminations indépendantes par ajustements électrofaibles ou par unitarité CKM, précisément pour tester la présence possible de contributions au-delà du Modèle standard.</w:t>
      </w:r>
    </w:p>
    <w:p>
      <w:pPr>
        <w:pStyle w:val="BodyText"/>
      </w:pPr>
      <w:r>
        <w:t xml:space="preserve">La stabilisation est donc :</w:t>
      </w:r>
    </w:p>
    <w:p>
      <w:pPr>
        <w:pStyle w:val="BodyText"/>
      </w:pPr>
      <w:r>
        <w:t xml:space="preserve">[</w:t>
      </w:r>
      <w:r>
        <w:br/>
      </w:r>
      <w:r>
        <w:br/>
      </w:r>
      <w:r>
        <w:t xml:space="preserve">]</w:t>
      </w:r>
    </w:p>
    <w:p>
      <w:pPr>
        <w:pStyle w:val="BodyText"/>
      </w:pPr>
      <w:r>
        <w:t xml:space="preserve">par le canal muon,</w:t>
      </w:r>
    </w:p>
    <w:p>
      <w:pPr>
        <w:pStyle w:val="BodyText"/>
      </w:pPr>
      <w:r>
        <w:t xml:space="preserve">mais aussi :</w:t>
      </w:r>
    </w:p>
    <w:p>
      <w:pPr>
        <w:pStyle w:val="BodyText"/>
      </w:pPr>
      <w:r>
        <w:t xml:space="preserve">[</w:t>
      </w:r>
      <w:r>
        <w:br/>
      </w:r>
      <w:r>
        <w:br/>
      </w:r>
      <w:r>
        <w:t xml:space="preserve">]</w:t>
      </w:r>
    </w:p>
    <w:p>
      <w:pPr>
        <w:pStyle w:val="BodyText"/>
      </w:pPr>
      <w:r>
        <w:t xml:space="preserve">dans l’architecture électrofaible.</w:t>
      </w:r>
    </w:p>
    <w:bookmarkEnd w:id="36"/>
    <w:bookmarkStart w:id="37" w:name="stabilisation-conventionnelle"/>
    <w:p>
      <w:pPr>
        <w:pStyle w:val="Heading3"/>
      </w:pPr>
      <w:r>
        <w:t xml:space="preserve">12.2 Stabilisation conventionnelle</w:t>
      </w:r>
    </w:p>
    <w:p>
      <w:pPr>
        <w:pStyle w:val="FirstParagraph"/>
      </w:pPr>
      <w:r>
        <w:t xml:space="preserve">(G_F) n’est pas conventionnellement définissante dans le SI.</w:t>
      </w:r>
    </w:p>
    <w:p>
      <w:pPr>
        <w:pStyle w:val="BodyText"/>
      </w:pPr>
      <w:r>
        <w:t xml:space="preserve">Elle est mesurée, extraite, ajustée et utilisée comme paramètre d’entrée, mais elle n’est pas fixée par définition d’unité.</w:t>
      </w:r>
    </w:p>
    <w:p>
      <w:pPr>
        <w:pStyle w:val="BodyText"/>
      </w:pPr>
      <w:r>
        <w:t xml:space="preserve">Stabilisation conventionnelle :</w:t>
      </w:r>
    </w:p>
    <w:p>
      <w:pPr>
        <w:pStyle w:val="BodyText"/>
      </w:pPr>
      <w:r>
        <w:t xml:space="preserve">[</w:t>
      </w:r>
      <w:r>
        <w:br/>
      </w:r>
      <w:r>
        <w:br/>
      </w:r>
      <w:r>
        <w:t xml:space="preserve">]</w:t>
      </w:r>
    </w:p>
    <w:bookmarkEnd w:id="37"/>
    <w:bookmarkEnd w:id="38"/>
    <w:bookmarkStart w:id="39" w:name="lecture-par-la-matrice-v0.8"/>
    <w:p>
      <w:pPr>
        <w:pStyle w:val="Heading2"/>
      </w:pPr>
      <w:r>
        <w:t xml:space="preserve">13. Lecture par la matrice v0.8</w:t>
      </w:r>
    </w:p>
    <w:tbl>
      <w:tblPr>
        <w:tblStyle w:val="Table"/>
        <w:tblW w:type="pct" w:w="5000"/>
        <w:tblLayout w:type="fixed"/>
        <w:tblLook w:firstRow="1" w:lastRow="0" w:firstColumn="0" w:lastColumn="0" w:noHBand="0" w:noVBand="0" w:val="0020"/>
      </w:tblPr>
      <w:tblGrid>
        <w:gridCol w:w="2146"/>
        <w:gridCol w:w="5773"/>
      </w:tblGrid>
      <w:tr>
        <w:trPr>
          <w:tblHeader w:val="on"/>
        </w:trPr>
        <w:tc>
          <w:tcPr/>
          <w:p>
            <w:pPr>
              <w:pStyle w:val="Compact"/>
            </w:pPr>
            <w:r>
              <w:t xml:space="preserve">Critère</w:t>
            </w:r>
          </w:p>
        </w:tc>
        <w:tc>
          <w:tcPr/>
          <w:p>
            <w:pPr>
              <w:pStyle w:val="Compact"/>
            </w:pPr>
            <w:r>
              <w:t xml:space="preserve">Lecture pour (G_F)</w:t>
            </w:r>
          </w:p>
        </w:tc>
      </w:tr>
      <w:tr>
        <w:tc>
          <w:tcPr/>
          <w:p>
            <w:pPr>
              <w:pStyle w:val="Compact"/>
            </w:pPr>
            <w:r>
              <w:t xml:space="preserve">Grandeur</w:t>
            </w:r>
          </w:p>
        </w:tc>
        <w:tc>
          <w:tcPr/>
          <w:p>
            <w:pPr>
              <w:pStyle w:val="Compact"/>
            </w:pPr>
            <w:r>
              <w:t xml:space="preserve">(G_F)</w:t>
            </w:r>
          </w:p>
        </w:tc>
      </w:tr>
      <w:tr>
        <w:tc>
          <w:tcPr/>
          <w:p>
            <w:pPr>
              <w:pStyle w:val="Compact"/>
            </w:pPr>
            <w:r>
              <w:t xml:space="preserve">Type logique</w:t>
            </w:r>
          </w:p>
        </w:tc>
        <w:tc>
          <w:tcPr/>
          <w:p>
            <w:pPr>
              <w:pStyle w:val="Compact"/>
            </w:pPr>
            <w:r>
              <w:t xml:space="preserve">Coefficient effectif dimensionné</w:t>
            </w:r>
          </w:p>
        </w:tc>
      </w:tr>
      <w:tr>
        <w:tc>
          <w:tcPr/>
          <w:p>
            <w:pPr>
              <w:pStyle w:val="Compact"/>
            </w:pPr>
            <w:r>
              <w:t xml:space="preserve">Dimension</w:t>
            </w:r>
          </w:p>
        </w:tc>
        <w:tc>
          <w:tcPr/>
          <w:p>
            <w:pPr>
              <w:pStyle w:val="Compact"/>
            </w:pPr>
            <w:r>
              <w:t xml:space="preserve">([E]^{-2})</w:t>
            </w:r>
          </w:p>
        </w:tc>
      </w:tr>
      <w:tr>
        <w:tc>
          <w:tcPr/>
          <w:p>
            <w:pPr>
              <w:pStyle w:val="Compact"/>
            </w:pPr>
            <w:r>
              <w:t xml:space="preserve">Famille principale</w:t>
            </w:r>
          </w:p>
        </w:tc>
        <w:tc>
          <w:tcPr/>
          <w:p>
            <w:pPr>
              <w:pStyle w:val="Compact"/>
            </w:pPr>
            <w:r>
              <w:t xml:space="preserve">Raccordement</w:t>
            </w:r>
          </w:p>
        </w:tc>
      </w:tr>
      <w:tr>
        <w:tc>
          <w:tcPr/>
          <w:p>
            <w:pPr>
              <w:pStyle w:val="Compact"/>
            </w:pPr>
            <w:r>
              <w:t xml:space="preserve">Sous-type local</w:t>
            </w:r>
          </w:p>
        </w:tc>
        <w:tc>
          <w:tcPr/>
          <w:p>
            <w:pPr>
              <w:pStyle w:val="Compact"/>
            </w:pPr>
            <w:r>
              <w:t xml:space="preserve">Raccordement effectif basse énergie</w:t>
            </w:r>
          </w:p>
        </w:tc>
      </w:tr>
      <w:tr>
        <w:tc>
          <w:tcPr/>
          <w:p>
            <w:pPr>
              <w:pStyle w:val="Compact"/>
            </w:pPr>
            <w:r>
              <w:t xml:space="preserve">Fonction transversale</w:t>
            </w:r>
          </w:p>
        </w:tc>
        <w:tc>
          <w:tcPr/>
          <w:p>
            <w:pPr>
              <w:pStyle w:val="Compact"/>
            </w:pPr>
            <w:r>
              <w:t xml:space="preserve">Validité, hiérarchie, échelle dérivée</w:t>
            </w:r>
          </w:p>
        </w:tc>
      </w:tr>
      <w:tr>
        <w:tc>
          <w:tcPr/>
          <w:p>
            <w:pPr>
              <w:pStyle w:val="Compact"/>
            </w:pPr>
            <w:r>
              <w:t xml:space="preserve">Régime de définition physique</w:t>
            </w:r>
          </w:p>
        </w:tc>
        <w:tc>
          <w:tcPr/>
          <w:p>
            <w:pPr>
              <w:pStyle w:val="Compact"/>
            </w:pPr>
            <w:r>
              <w:t xml:space="preserve">Interaction faible basse énergie</w:t>
            </w:r>
          </w:p>
        </w:tc>
      </w:tr>
      <w:tr>
        <w:tc>
          <w:tcPr/>
          <w:p>
            <w:pPr>
              <w:pStyle w:val="Compact"/>
            </w:pPr>
            <w:r>
              <w:t xml:space="preserve">Régime d’accès épistémique</w:t>
            </w:r>
          </w:p>
        </w:tc>
        <w:tc>
          <w:tcPr/>
          <w:p>
            <w:pPr>
              <w:pStyle w:val="Compact"/>
            </w:pPr>
            <w:r>
              <w:t xml:space="preserve">Durée de vie du muon, ajustements électrofaibles, cohérence CKM</w:t>
            </w:r>
          </w:p>
        </w:tc>
      </w:tr>
      <w:tr>
        <w:tc>
          <w:tcPr/>
          <w:p>
            <w:pPr>
              <w:pStyle w:val="Compact"/>
            </w:pPr>
            <w:r>
              <w:t xml:space="preserve">Dépendance d’échelle</w:t>
            </w:r>
          </w:p>
        </w:tc>
        <w:tc>
          <w:tcPr/>
          <w:p>
            <w:pPr>
              <w:pStyle w:val="Compact"/>
            </w:pPr>
            <w:r>
              <w:t xml:space="preserve">Description locale valide pour (E</w:t>
            </w:r>
            <w:r>
              <w:t xml:space="preserve">M_W)</w:t>
            </w:r>
          </w:p>
        </w:tc>
      </w:tr>
      <w:tr>
        <w:tc>
          <w:tcPr/>
          <w:p>
            <w:pPr>
              <w:pStyle w:val="Compact"/>
            </w:pPr>
            <w:r>
              <w:t xml:space="preserve">Stabilisation empirique</w:t>
            </w:r>
          </w:p>
        </w:tc>
        <w:tc>
          <w:tcPr/>
          <w:p>
            <w:pPr>
              <w:pStyle w:val="Compact"/>
            </w:pPr>
            <w:r>
              <w:t xml:space="preserve">Très forte par muon ; testable par cohérence globale</w:t>
            </w:r>
          </w:p>
        </w:tc>
      </w:tr>
      <w:tr>
        <w:tc>
          <w:tcPr/>
          <w:p>
            <w:pPr>
              <w:pStyle w:val="Compact"/>
            </w:pPr>
            <w:r>
              <w:t xml:space="preserve">Stabilisation conventionnelle</w:t>
            </w:r>
          </w:p>
        </w:tc>
        <w:tc>
          <w:tcPr/>
          <w:p>
            <w:pPr>
              <w:pStyle w:val="Compact"/>
            </w:pPr>
            <w:r>
              <w:t xml:space="preserve">Non concernée</w:t>
            </w:r>
          </w:p>
        </w:tc>
      </w:tr>
      <w:tr>
        <w:tc>
          <w:tcPr/>
          <w:p>
            <w:pPr>
              <w:pStyle w:val="Compact"/>
            </w:pPr>
            <w:r>
              <w:t xml:space="preserve">Architecture</w:t>
            </w:r>
          </w:p>
        </w:tc>
        <w:tc>
          <w:tcPr/>
          <w:p>
            <w:pPr>
              <w:pStyle w:val="Compact"/>
            </w:pPr>
            <w:r>
              <w:t xml:space="preserve">Effective basse énergie ; électrofaible</w:t>
            </w:r>
          </w:p>
        </w:tc>
      </w:tr>
      <w:tr>
        <w:tc>
          <w:tcPr/>
          <w:p>
            <w:pPr>
              <w:pStyle w:val="Compact"/>
            </w:pPr>
            <w:r>
              <w:t xml:space="preserve">Limite</w:t>
            </w:r>
          </w:p>
        </w:tc>
        <w:tc>
          <w:tcPr/>
          <w:p>
            <w:pPr>
              <w:pStyle w:val="Compact"/>
            </w:pPr>
            <w:r>
              <w:t xml:space="preserve">Ne décrit pas la structure complète de l’interaction faible à l’échelle (M_W)</w:t>
            </w:r>
          </w:p>
        </w:tc>
      </w:tr>
    </w:tbl>
    <w:bookmarkEnd w:id="39"/>
    <w:bookmarkStart w:id="40" w:name="ce-que-g_f-confirme"/>
    <w:p>
      <w:pPr>
        <w:pStyle w:val="Heading2"/>
      </w:pPr>
      <w:r>
        <w:t xml:space="preserve">14. Ce que (G_F) confirme</w:t>
      </w:r>
    </w:p>
    <w:p>
      <w:pPr>
        <w:pStyle w:val="FirstParagraph"/>
      </w:pPr>
      <w:r>
        <w:t xml:space="preserve">(G_F) confirme l’existence d’une famille :</w:t>
      </w:r>
    </w:p>
    <w:p>
      <w:pPr>
        <w:pStyle w:val="BodyText"/>
      </w:pPr>
      <w:r>
        <w:t xml:space="preserve">[</w:t>
      </w:r>
      <w:r>
        <w:br/>
      </w:r>
      <w:r>
        <w:br/>
      </w:r>
      <w:r>
        <w:t xml:space="preserve">]</w:t>
      </w:r>
    </w:p>
    <w:p>
      <w:pPr>
        <w:pStyle w:val="BodyText"/>
      </w:pPr>
      <w:r>
        <w:t xml:space="preserve">Il confirme aussi l’utilité de l’architecture :</w:t>
      </w:r>
    </w:p>
    <w:p>
      <w:pPr>
        <w:pStyle w:val="BodyText"/>
      </w:pPr>
      <w:r>
        <w:t xml:space="preserve">[</w:t>
      </w:r>
      <w:r>
        <w:br/>
      </w:r>
      <w:r>
        <w:br/>
      </w:r>
      <w:r>
        <w:t xml:space="preserve">]</w:t>
      </w:r>
    </w:p>
    <w:p>
      <w:pPr>
        <w:pStyle w:val="BodyText"/>
      </w:pPr>
      <w:r>
        <w:t xml:space="preserve">car son sens complet exige plusieurs coordonnées :</w:t>
      </w:r>
    </w:p>
    <w:p>
      <w:pPr>
        <w:pStyle w:val="BodyText"/>
      </w:pPr>
      <w:r>
        <w:t xml:space="preserve">[</w:t>
      </w:r>
      <w:r>
        <w:br/>
      </w:r>
      <w:r>
        <w:br/>
      </w:r>
      <w:r>
        <w:t xml:space="preserve">]</w:t>
      </w:r>
    </w:p>
    <w:p>
      <w:pPr>
        <w:pStyle w:val="BodyText"/>
      </w:pPr>
      <w:r>
        <w:t xml:space="preserve">[</w:t>
      </w:r>
      <w:r>
        <w:br/>
      </w:r>
      <w:r>
        <w:br/>
      </w:r>
      <w:r>
        <w:t xml:space="preserve">]</w:t>
      </w:r>
    </w:p>
    <w:p>
      <w:pPr>
        <w:pStyle w:val="BodyText"/>
      </w:pPr>
      <w:r>
        <w:t xml:space="preserve">[</w:t>
      </w:r>
      <w:r>
        <w:br/>
      </w:r>
      <w:r>
        <w:br/>
      </w:r>
      <w:r>
        <w:t xml:space="preserve">]</w:t>
      </w:r>
    </w:p>
    <w:p>
      <w:pPr>
        <w:pStyle w:val="BodyText"/>
      </w:pPr>
      <w:r>
        <w:t xml:space="preserve">[</w:t>
      </w:r>
      <w:r>
        <w:br/>
      </w:r>
      <w:r>
        <w:br/>
      </w:r>
      <w:r>
        <w:t xml:space="preserve">]</w:t>
      </w:r>
    </w:p>
    <w:p>
      <w:pPr>
        <w:pStyle w:val="BodyText"/>
      </w:pPr>
      <w:r>
        <w:t xml:space="preserve">[</w:t>
      </w:r>
      <w:r>
        <w:br/>
      </w:r>
      <w:r>
        <w:br/>
      </w:r>
      <w:r>
        <w:t xml:space="preserve">]</w:t>
      </w:r>
    </w:p>
    <w:p>
      <w:pPr>
        <w:pStyle w:val="BodyText"/>
      </w:pPr>
      <w:r>
        <w:t xml:space="preserve">Une simple classification par</w:t>
      </w:r>
      <w:r>
        <w:t xml:space="preserve"> </w:t>
      </w:r>
      <w:r>
        <w:t xml:space="preserve">“constante faible”</w:t>
      </w:r>
      <w:r>
        <w:t xml:space="preserve"> </w:t>
      </w:r>
      <w:r>
        <w:t xml:space="preserve">serait trop pauvre.</w:t>
      </w:r>
    </w:p>
    <w:bookmarkEnd w:id="40"/>
    <w:bookmarkStart w:id="41" w:name="ce-que-g_f-ne-confirme-pas-encore"/>
    <w:p>
      <w:pPr>
        <w:pStyle w:val="Heading2"/>
      </w:pPr>
      <w:r>
        <w:t xml:space="preserve">15. Ce que (G_F) ne confirme pas encore</w:t>
      </w:r>
    </w:p>
    <w:p>
      <w:pPr>
        <w:pStyle w:val="FirstParagraph"/>
      </w:pPr>
      <w:r>
        <w:t xml:space="preserve">(G_F) ne suffit pas à confirmer toute l’architecture effective basse énergie.</w:t>
      </w:r>
    </w:p>
    <w:p>
      <w:pPr>
        <w:pStyle w:val="BodyText"/>
      </w:pPr>
      <w:r>
        <w:t xml:space="preserve">Il confirme le pôle :</w:t>
      </w:r>
    </w:p>
    <w:p>
      <w:pPr>
        <w:pStyle w:val="BodyText"/>
      </w:pPr>
      <w:r>
        <w:t xml:space="preserve">[</w:t>
      </w:r>
      <w:r>
        <w:br/>
      </w:r>
      <w:r>
        <w:br/>
      </w:r>
      <w:r>
        <w:t xml:space="preserve">]</w:t>
      </w:r>
    </w:p>
    <w:p>
      <w:pPr>
        <w:pStyle w:val="BodyText"/>
      </w:pPr>
      <w:r>
        <w:t xml:space="preserve">mais il ne teste pas encore suffisamment :</w:t>
      </w:r>
    </w:p>
    <w:p>
      <w:pPr>
        <w:pStyle w:val="BodyText"/>
      </w:pPr>
      <w:r>
        <w:t xml:space="preserve">[</w:t>
      </w:r>
      <w:r>
        <w:br/>
      </w:r>
      <w:r>
        <w:br/>
      </w:r>
      <w:r>
        <w:t xml:space="preserve">]</w:t>
      </w:r>
    </w:p>
    <w:p>
      <w:pPr>
        <w:pStyle w:val="BodyText"/>
      </w:pPr>
      <w:r>
        <w:t xml:space="preserve">[</w:t>
      </w:r>
      <w:r>
        <w:br/>
      </w:r>
      <w:r>
        <w:br/>
      </w:r>
      <w:r>
        <w:t xml:space="preserve">]</w:t>
      </w:r>
    </w:p>
    <w:p>
      <w:pPr>
        <w:pStyle w:val="BodyText"/>
      </w:pPr>
      <w:r>
        <w:t xml:space="preserve">[</w:t>
      </w:r>
      <w:r>
        <w:br/>
      </w:r>
      <w:r>
        <w:br/>
      </w:r>
      <w:r>
        <w:t xml:space="preserve">]</w:t>
      </w:r>
    </w:p>
    <w:p>
      <w:pPr>
        <w:pStyle w:val="BodyText"/>
      </w:pPr>
      <w:r>
        <w:t xml:space="preserve">[</w:t>
      </w:r>
      <w:r>
        <w:br/>
      </w:r>
      <w:r>
        <w:br/>
      </w:r>
      <w:r>
        <w:t xml:space="preserve">]</w:t>
      </w:r>
    </w:p>
    <w:p>
      <w:pPr>
        <w:pStyle w:val="BodyText"/>
      </w:pPr>
      <w:r>
        <w:t xml:space="preserve">Pour tester l’architecture complète, il faudra encore traiter :</w:t>
      </w:r>
    </w:p>
    <w:p>
      <w:pPr>
        <w:pStyle w:val="BodyText"/>
      </w:pPr>
      <w:r>
        <w:t xml:space="preserve">[</w:t>
      </w:r>
      <w:r>
        <w:br/>
      </w:r>
      <w:r>
        <w:t xml:space="preserve">M_W</w:t>
      </w:r>
      <w:r>
        <w:br/>
      </w:r>
      <w:r>
        <w:t xml:space="preserve">]</w:t>
      </w:r>
    </w:p>
    <w:p>
      <w:pPr>
        <w:pStyle w:val="BodyText"/>
      </w:pPr>
      <w:r>
        <w:t xml:space="preserve">[</w:t>
      </w:r>
      <w:r>
        <w:br/>
      </w:r>
      <w:r>
        <w:t xml:space="preserve">_s(Q^2),</w:t>
      </w:r>
      <w:r>
        <w:t xml:space="preserve">_{</w:t>
      </w:r>
      <w:r>
        <w:t xml:space="preserve">}</w:t>
      </w:r>
      <w:r>
        <w:br/>
      </w:r>
      <w:r>
        <w:t xml:space="preserve">]</w:t>
      </w:r>
    </w:p>
    <w:p>
      <w:pPr>
        <w:pStyle w:val="BodyText"/>
      </w:pPr>
      <w:r>
        <w:t xml:space="preserve">[</w:t>
      </w:r>
      <w:r>
        <w:br/>
      </w:r>
      <w:r>
        <w:t xml:space="preserve">_G(E),</w:t>
      </w:r>
      <w:r>
        <w:t xml:space="preserve">M_{</w:t>
      </w:r>
      <w:r>
        <w:t xml:space="preserve">}</w:t>
      </w:r>
      <w:r>
        <w:br/>
      </w:r>
      <w:r>
        <w:t xml:space="preserve">]</w:t>
      </w:r>
    </w:p>
    <w:bookmarkEnd w:id="41"/>
    <w:bookmarkStart w:id="42" w:name="décision-provisoire"/>
    <w:p>
      <w:pPr>
        <w:pStyle w:val="Heading2"/>
      </w:pPr>
      <w:r>
        <w:t xml:space="preserve">16. Décision provisoire</w:t>
      </w:r>
    </w:p>
    <w:p>
      <w:pPr>
        <w:pStyle w:val="FirstParagraph"/>
      </w:pPr>
      <w:r>
        <w:t xml:space="preserve">Après la fiche (G_F), l’architecture effective basse énergie reçoit un premier appui fort.</w:t>
      </w:r>
    </w:p>
    <w:p>
      <w:pPr>
        <w:pStyle w:val="BodyText"/>
      </w:pPr>
      <w:r>
        <w:t xml:space="preserve">Mais son statut reste :</w:t>
      </w:r>
    </w:p>
    <w:p>
      <w:pPr>
        <w:pStyle w:val="BodyText"/>
      </w:pPr>
      <w:r>
        <w:t xml:space="preserve">[</w:t>
      </w:r>
      <w:r>
        <w:br/>
      </w:r>
      <w:r>
        <w:br/>
      </w:r>
      <w:r>
        <w:t xml:space="preserve">]</w:t>
      </w:r>
    </w:p>
    <w:p>
      <w:pPr>
        <w:pStyle w:val="BodyText"/>
      </w:pPr>
      <w:r>
        <w:t xml:space="preserve">et non encore pleinement stabilisée.</w:t>
      </w:r>
    </w:p>
    <w:p>
      <w:pPr>
        <w:pStyle w:val="BodyText"/>
      </w:pPr>
      <w:r>
        <w:t xml:space="preserve">La formule provisoire est :</w:t>
      </w:r>
    </w:p>
    <w:p>
      <w:pPr>
        <w:pStyle w:val="BodyText"/>
      </w:pPr>
      <w:r>
        <w:rPr>
          <w:b/>
          <w:bCs/>
        </w:rPr>
        <w:t xml:space="preserve">Une constante effective basse énergie stabilise ce qu’un régime limité permet de ne plus résoudre explicitement.</w:t>
      </w:r>
    </w:p>
    <w:p>
      <w:pPr>
        <w:pStyle w:val="BodyText"/>
      </w:pPr>
      <w:r>
        <w:t xml:space="preserve">Dans le cas de (G_F), ce qui n’est plus résolu explicitement est la médiation par le boson (W). Cette médiation est condensée dans un coefficient local.</w:t>
      </w:r>
    </w:p>
    <w:bookmarkEnd w:id="42"/>
    <w:bookmarkStart w:id="43" w:name="prochaine-fiche-du-cycle"/>
    <w:p>
      <w:pPr>
        <w:pStyle w:val="Heading2"/>
      </w:pPr>
      <w:r>
        <w:t xml:space="preserve">17. Prochaine fiche du cycle</w:t>
      </w:r>
    </w:p>
    <w:p>
      <w:pPr>
        <w:pStyle w:val="FirstParagraph"/>
      </w:pPr>
      <w:r>
        <w:t xml:space="preserve">La prochaine fiche doit porter sur :</w:t>
      </w:r>
    </w:p>
    <w:p>
      <w:pPr>
        <w:pStyle w:val="BodyText"/>
      </w:pPr>
      <w:r>
        <w:t xml:space="preserve">[</w:t>
      </w:r>
      <w:r>
        <w:br/>
      </w:r>
      <w:r>
        <w:t xml:space="preserve">M_W</w:t>
      </w:r>
      <w:r>
        <w:br/>
      </w:r>
      <w:r>
        <w:t xml:space="preserve">]</w:t>
      </w:r>
    </w:p>
    <w:p>
      <w:pPr>
        <w:pStyle w:val="BodyText"/>
      </w:pPr>
      <w:r>
        <w:t xml:space="preserve">non pas comme simple masse électrofaible, mais comme :</w:t>
      </w:r>
    </w:p>
    <w:p>
      <w:pPr>
        <w:pStyle w:val="BodyText"/>
      </w:pPr>
      <w:r>
        <w:t xml:space="preserve">[</w:t>
      </w:r>
      <w:r>
        <w:br/>
      </w:r>
      <w:r>
        <w:br/>
      </w:r>
      <w:r>
        <w:t xml:space="preserve">]</w:t>
      </w:r>
    </w:p>
    <w:p>
      <w:pPr>
        <w:pStyle w:val="BodyText"/>
      </w:pPr>
      <w:r>
        <w:t xml:space="preserve">Le but sera de tester la relation entre :</w:t>
      </w:r>
    </w:p>
    <w:p>
      <w:pPr>
        <w:pStyle w:val="BodyText"/>
      </w:pPr>
      <w:r>
        <w:t xml:space="preserve">[</w:t>
      </w:r>
      <w:r>
        <w:br/>
      </w:r>
      <w:r>
        <w:t xml:space="preserve">G_F</w:t>
      </w:r>
      <w:r>
        <w:br/>
      </w:r>
      <w:r>
        <w:t xml:space="preserve">]</w:t>
      </w:r>
    </w:p>
    <w:p>
      <w:pPr>
        <w:pStyle w:val="BodyText"/>
      </w:pPr>
      <w:r>
        <w:t xml:space="preserve">comme raccordement,</w:t>
      </w:r>
    </w:p>
    <w:p>
      <w:pPr>
        <w:pStyle w:val="BodyText"/>
      </w:pPr>
      <w:r>
        <w:t xml:space="preserve">et :</w:t>
      </w:r>
    </w:p>
    <w:p>
      <w:pPr>
        <w:pStyle w:val="BodyText"/>
      </w:pPr>
      <w:r>
        <w:t xml:space="preserve">[</w:t>
      </w:r>
      <w:r>
        <w:br/>
      </w:r>
      <w:r>
        <w:t xml:space="preserve">M_W</w:t>
      </w:r>
      <w:r>
        <w:br/>
      </w:r>
      <w:r>
        <w:t xml:space="preserve">]</w:t>
      </w:r>
    </w:p>
    <w:p>
      <w:pPr>
        <w:pStyle w:val="BodyText"/>
      </w:pPr>
      <w:r>
        <w:t xml:space="preserve">comme échelle/seuil de validité.</w:t>
      </w:r>
    </w:p>
    <w:p>
      <w:pPr>
        <w:pStyle w:val="BodyText"/>
      </w:pPr>
      <w:r>
        <w:t xml:space="preserve">Ce sera le premier test interne de l’architecture effective basse énergie.</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2026-07-09T06:51:12Z</dcterms:created>
  <dcterms:modified xsi:type="dcterms:W3CDTF">2026-07-09T06:51:12Z</dcterms:modified>
</cp:coreProperties>
</file>

<file path=docProps/custom.xml><?xml version="1.0" encoding="utf-8"?>
<Properties xmlns="http://schemas.openxmlformats.org/officeDocument/2006/custom-properties" xmlns:vt="http://schemas.openxmlformats.org/officeDocument/2006/docPropsVTypes"/>
</file>