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ycle-effectif-basse-énergie-v0.2"/>
    <w:p>
      <w:pPr>
        <w:pStyle w:val="Heading1"/>
      </w:pPr>
      <w:r>
        <w:t xml:space="preserve">Cycle effectif basse énergie v0.2</w:t>
      </w:r>
    </w:p>
    <w:bookmarkStart w:id="20" w:name="fiche-2-m_w"/>
    <w:p>
      <w:pPr>
        <w:pStyle w:val="Heading2"/>
      </w:pPr>
      <w:r>
        <w:t xml:space="preserve">Fiche 2 : (M_W)</w:t>
      </w:r>
    </w:p>
    <w:bookmarkEnd w:id="20"/>
    <w:bookmarkStart w:id="21" w:name="fonction-de-la-fiche"/>
    <w:p>
      <w:pPr>
        <w:pStyle w:val="Heading2"/>
      </w:pPr>
      <w:r>
        <w:t xml:space="preserve">1. Fonction de la fiche</w:t>
      </w:r>
    </w:p>
    <w:p>
      <w:pPr>
        <w:pStyle w:val="FirstParagraph"/>
      </w:pPr>
      <w:r>
        <w:t xml:space="preserve">La fiche précédente a montré que :</w:t>
      </w:r>
    </w:p>
    <w:p>
      <w:pPr>
        <w:pStyle w:val="BodyText"/>
      </w:pPr>
      <w:r>
        <w:t xml:space="preserve">[</w:t>
      </w:r>
      <w:r>
        <w:t xml:space="preserve"> </w:t>
      </w:r>
      <w:r>
        <w:t xml:space="preserve">G_F</w:t>
      </w:r>
      <w:r>
        <w:t xml:space="preserve"> </w:t>
      </w:r>
      <w:r>
        <w:t xml:space="preserve">]</w:t>
      </w:r>
    </w:p>
    <w:p>
      <w:pPr>
        <w:pStyle w:val="BodyText"/>
      </w:pPr>
      <w:r>
        <w:t xml:space="preserve">est un coefficient de raccordement effectif basse énergie.</w:t>
      </w:r>
    </w:p>
    <w:p>
      <w:pPr>
        <w:pStyle w:val="BodyText"/>
      </w:pPr>
      <w:r>
        <w:t xml:space="preserve">La présente fiche teste le pôle complémentaire :</w:t>
      </w:r>
    </w:p>
    <w:p>
      <w:pPr>
        <w:pStyle w:val="BodyText"/>
      </w:pPr>
      <w:r>
        <w:t xml:space="preserve">[</w:t>
      </w:r>
      <w:r>
        <w:t xml:space="preserve"> </w:t>
      </w:r>
      <w:r>
        <w:t xml:space="preserve">M_W</w:t>
      </w:r>
      <w:r>
        <w:t xml:space="preserve"> </w:t>
      </w:r>
      <w:r>
        <w:t xml:space="preserve">]</w:t>
      </w:r>
    </w:p>
    <w:p>
      <w:pPr>
        <w:pStyle w:val="BodyText"/>
      </w:pPr>
      <w:r>
        <w:t xml:space="preserve">non comme simple masse de particule, mais comme</w:t>
      </w:r>
      <w:r>
        <w:t xml:space="preserve"> </w:t>
      </w:r>
      <w:r>
        <w:rPr>
          <w:b/>
          <w:bCs/>
        </w:rPr>
        <w:t xml:space="preserve">échelle de validité</w:t>
      </w:r>
      <w:r>
        <w:t xml:space="preserve"> </w:t>
      </w:r>
      <w:r>
        <w:t xml:space="preserve">de la théorie de Fermi.</w:t>
      </w:r>
    </w:p>
    <w:p>
      <w:pPr>
        <w:pStyle w:val="BodyText"/>
      </w:pPr>
      <w:r>
        <w:t xml:space="preserve">La question directrice est :</w:t>
      </w:r>
    </w:p>
    <w:p>
      <w:pPr>
        <w:pStyle w:val="BodyText"/>
      </w:pPr>
      <w:r>
        <w:t xml:space="preserve">[</w:t>
      </w:r>
      <w:r>
        <w:t xml:space="preserve"> </w:t>
      </w:r>
      <w:r>
        <w:t xml:space="preserve"> </w:t>
      </w:r>
      <w:r>
        <w:t xml:space="preserve">M_W</w:t>
      </w:r>
      <w:r>
        <w:t xml:space="preserve"> </w:t>
      </w:r>
      <w:r>
        <w:t xml:space="preserve"> </w:t>
      </w:r>
      <w:r>
        <w:t xml:space="preserve">]</w:t>
      </w:r>
    </w:p>
    <w:p>
      <w:pPr>
        <w:pStyle w:val="BodyText"/>
      </w:pPr>
      <w:r>
        <w:t xml:space="preserve">La réponse proposée est :</w:t>
      </w:r>
    </w:p>
    <w:p>
      <w:pPr>
        <w:pStyle w:val="BodyText"/>
      </w:pPr>
      <w:r>
        <w:rPr>
          <w:b/>
          <w:bCs/>
        </w:rPr>
        <w:t xml:space="preserve">(M_W) est d’abord une échelle électrofaible ; il devient seuil de validité lorsqu’il marque la limite du régime où l’interaction faible peut être décrite localement par (G_F).</w:t>
      </w:r>
    </w:p>
    <w:bookmarkEnd w:id="21"/>
    <w:bookmarkStart w:id="22" w:name="identification"/>
    <w:p>
      <w:pPr>
        <w:pStyle w:val="Heading2"/>
      </w:pPr>
      <w:r>
        <w:t xml:space="preserve">2. Identification</w:t>
      </w:r>
    </w:p>
    <w:p>
      <w:pPr>
        <w:pStyle w:val="FirstParagraph"/>
      </w:pPr>
      <w:r>
        <w:t xml:space="preserve">Grandeur :</w:t>
      </w:r>
    </w:p>
    <w:p>
      <w:pPr>
        <w:pStyle w:val="BodyText"/>
      </w:pPr>
      <w:r>
        <w:t xml:space="preserve">[</w:t>
      </w:r>
      <w:r>
        <w:t xml:space="preserve"> </w:t>
      </w:r>
      <w:r>
        <w:t xml:space="preserve">M_W</w:t>
      </w:r>
      <w:r>
        <w:t xml:space="preserve"> </w:t>
      </w:r>
      <w:r>
        <w:t xml:space="preserve">]</w:t>
      </w:r>
    </w:p>
    <w:p>
      <w:pPr>
        <w:pStyle w:val="BodyText"/>
      </w:pPr>
      <w:r>
        <w:t xml:space="preserve">Nom :</w:t>
      </w:r>
    </w:p>
    <w:p>
      <w:pPr>
        <w:pStyle w:val="BodyText"/>
      </w:pPr>
      <w:r>
        <w:t xml:space="preserve">[</w:t>
      </w:r>
      <w:r>
        <w:t xml:space="preserve"> </w:t>
      </w:r>
      <w:r>
        <w:t xml:space="preserve"> </w:t>
      </w:r>
      <w:r>
        <w:t xml:space="preserve">W</w:t>
      </w:r>
      <w:r>
        <w:t xml:space="preserve"> </w:t>
      </w:r>
      <w:r>
        <w:t xml:space="preserve">]</w:t>
      </w:r>
    </w:p>
    <w:p>
      <w:pPr>
        <w:pStyle w:val="BodyText"/>
      </w:pPr>
      <w:r>
        <w:t xml:space="preserve">Type logique :</w:t>
      </w:r>
    </w:p>
    <w:p>
      <w:pPr>
        <w:pStyle w:val="BodyText"/>
      </w:pPr>
      <w:r>
        <w:t xml:space="preserve">[</w:t>
      </w:r>
      <w:r>
        <w:t xml:space="preserve"> </w:t>
      </w:r>
      <w:r>
        <w:t xml:space="preserve"> </w:t>
      </w:r>
      <w:r>
        <w:t xml:space="preserve">]</w:t>
      </w:r>
    </w:p>
    <w:p>
      <w:pPr>
        <w:pStyle w:val="BodyText"/>
      </w:pPr>
      <w:r>
        <w:t xml:space="preserve">Dimension naturelle :</w:t>
      </w:r>
    </w:p>
    <w:p>
      <w:pPr>
        <w:pStyle w:val="BodyText"/>
      </w:pPr>
      <w:r>
        <w:t xml:space="preserve">[</w:t>
      </w:r>
      <w:r>
        <w:t xml:space="preserve"> </w:t>
      </w:r>
      <w:r>
        <w:t xml:space="preserve">[E]</w:t>
      </w:r>
      <w:r>
        <w:t xml:space="preserve"> </w:t>
      </w:r>
      <w:r>
        <w:t xml:space="preserve">]</w:t>
      </w:r>
    </w:p>
    <w:p>
      <w:pPr>
        <w:pStyle w:val="BodyText"/>
      </w:pPr>
      <w:r>
        <w:t xml:space="preserve">Famille principale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Fonctions transversales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Architecture principale :</w:t>
      </w:r>
    </w:p>
    <w:p>
      <w:pPr>
        <w:pStyle w:val="BodyText"/>
      </w:pPr>
      <w:r>
        <w:t xml:space="preserve">[</w:t>
      </w:r>
      <w:r>
        <w:t xml:space="preserve"> </w:t>
      </w:r>
      <w:r>
        <w:t xml:space="preserve"> </w:t>
      </w:r>
      <w:r>
        <w:t xml:space="preserve">]</w:t>
      </w:r>
    </w:p>
    <w:p>
      <w:pPr>
        <w:pStyle w:val="BodyText"/>
      </w:pPr>
      <w:r>
        <w:t xml:space="preserve">Architecture testée :</w:t>
      </w:r>
    </w:p>
    <w:p>
      <w:pPr>
        <w:pStyle w:val="BodyText"/>
      </w:pPr>
      <w:r>
        <w:t xml:space="preserve">[</w:t>
      </w:r>
      <w:r>
        <w:t xml:space="preserve"> </w:t>
      </w:r>
      <w:r>
        <w:t xml:space="preserve"> </w:t>
      </w:r>
      <w:r>
        <w:t xml:space="preserve">]</w:t>
      </w:r>
    </w:p>
    <w:bookmarkEnd w:id="22"/>
    <w:bookmarkStart w:id="23" w:name="régime-de-définition-physique"/>
    <w:p>
      <w:pPr>
        <w:pStyle w:val="Heading2"/>
      </w:pPr>
      <w:r>
        <w:t xml:space="preserve">3. Régime de définition physique</w:t>
      </w:r>
    </w:p>
    <w:p>
      <w:pPr>
        <w:pStyle w:val="FirstParagraph"/>
      </w:pPr>
      <w:r>
        <w:t xml:space="preserve">Le régime de définition physique de (M_W) est le régime électrofaible brisé.</w:t>
      </w:r>
    </w:p>
    <w:p>
      <w:pPr>
        <w:pStyle w:val="BodyText"/>
      </w:pPr>
      <w:r>
        <w:t xml:space="preserve">Avant brisure, les champs de jauge électrofaibles appartiennent à la structure :</w:t>
      </w:r>
    </w:p>
    <w:p>
      <w:pPr>
        <w:pStyle w:val="BodyText"/>
      </w:pPr>
      <w:r>
        <w:t xml:space="preserve">[</w:t>
      </w:r>
      <w:r>
        <w:t xml:space="preserve"> </w:t>
      </w:r>
      <w:r>
        <w:t xml:space="preserve">SU(2)_L</w:t>
      </w:r>
      <w:r>
        <w:t xml:space="preserve"> </w:t>
      </w:r>
      <w:r>
        <w:t xml:space="preserve">U(1)_Y</w:t>
      </w:r>
      <w:r>
        <w:t xml:space="preserve"> </w:t>
      </w:r>
      <w:r>
        <w:t xml:space="preserve">]</w:t>
      </w:r>
    </w:p>
    <w:p>
      <w:pPr>
        <w:pStyle w:val="BodyText"/>
      </w:pPr>
      <w:r>
        <w:t xml:space="preserve">Après brisure électrofaible, les bosons (W^</w:t>
      </w:r>
      <w:r>
        <w:t xml:space="preserve">) et (Z) acquièrent une masse, tandis que le photon reste sans masse. Dans la formulation standard du mécanisme de Higgs, la masse du boson (W) est reliée à la valeur moyenne du champ de Higgs et au couplage faible par :</w:t>
      </w:r>
    </w:p>
    <w:p>
      <w:pPr>
        <w:pStyle w:val="BodyText"/>
      </w:pPr>
      <w:r>
        <w:t xml:space="preserve">[</w:t>
      </w:r>
      <w:r>
        <w:t xml:space="preserve"> </w:t>
      </w:r>
      <w:r>
        <w:t xml:space="preserve">M_W=</w:t>
      </w:r>
      <w:r>
        <w:t xml:space="preserve">gv</w:t>
      </w:r>
      <w:r>
        <w:t xml:space="preserve"> </w:t>
      </w:r>
      <w:r>
        <w:t xml:space="preserve">]</w:t>
      </w:r>
    </w:p>
    <w:p>
      <w:pPr>
        <w:pStyle w:val="BodyText"/>
      </w:pPr>
      <w:r>
        <w:t xml:space="preserve">avec aussi :</w:t>
      </w:r>
    </w:p>
    <w:p>
      <w:pPr>
        <w:pStyle w:val="BodyText"/>
      </w:pPr>
      <w:r>
        <w:t xml:space="preserve">[</w:t>
      </w:r>
      <w:r>
        <w:t xml:space="preserve"> </w:t>
      </w:r>
      <w:r>
        <w:t xml:space="preserve">M_W=M_Z</w:t>
      </w:r>
      <w:r>
        <w:t xml:space="preserve">_W</w:t>
      </w:r>
      <w:r>
        <w:t xml:space="preserve"> </w:t>
      </w:r>
      <w:r>
        <w:t xml:space="preserve">]</w:t>
      </w:r>
    </w:p>
    <w:p>
      <w:pPr>
        <w:pStyle w:val="BodyText"/>
      </w:pPr>
      <w:r>
        <w:t xml:space="preserve">et :</w:t>
      </w:r>
    </w:p>
    <w:p>
      <w:pPr>
        <w:pStyle w:val="BodyText"/>
      </w:pPr>
      <w:r>
        <w:t xml:space="preserve">[</w:t>
      </w:r>
      <w:r>
        <w:t xml:space="preserve"> </w:t>
      </w:r>
      <w:r>
        <w:t xml:space="preserve">v=(</w:t>
      </w:r>
      <w:r>
        <w:t xml:space="preserve">G_F)^{-1/2}</w:t>
      </w:r>
      <w:r>
        <w:t xml:space="preserve"> </w:t>
      </w:r>
      <w:r>
        <w:t xml:space="preserve"> </w:t>
      </w:r>
      <w:r>
        <w:t xml:space="preserve">]</w:t>
      </w:r>
    </w:p>
    <w:p>
      <w:pPr>
        <w:pStyle w:val="BodyText"/>
      </w:pPr>
      <w:r>
        <w:t xml:space="preserve">dans la lecture électrofaible usuelle.</w:t>
      </w:r>
    </w:p>
    <w:p>
      <w:pPr>
        <w:pStyle w:val="BodyText"/>
      </w:pPr>
      <w:r>
        <w:t xml:space="preserve">Cette structure montre que (M_W) n’est pas une masse isolée. Elle est prise dans une relation électrofaible entre :</w:t>
      </w:r>
    </w:p>
    <w:p>
      <w:pPr>
        <w:pStyle w:val="BodyText"/>
      </w:pPr>
      <w:r>
        <w:t xml:space="preserve">[</w:t>
      </w:r>
      <w:r>
        <w:t xml:space="preserve"> </w:t>
      </w:r>
      <w:r>
        <w:t xml:space="preserve">g</w:t>
      </w:r>
      <w:r>
        <w:t xml:space="preserve"> </w:t>
      </w:r>
      <w:r>
        <w:t xml:space="preserve">]</w:t>
      </w:r>
    </w:p>
    <w:p>
      <w:pPr>
        <w:pStyle w:val="BodyText"/>
      </w:pPr>
      <w:r>
        <w:t xml:space="preserve">le couplage faible,</w:t>
      </w:r>
    </w:p>
    <w:p>
      <w:pPr>
        <w:pStyle w:val="BodyText"/>
      </w:pPr>
      <w:r>
        <w:t xml:space="preserve">[</w:t>
      </w:r>
      <w:r>
        <w:t xml:space="preserve"> </w:t>
      </w:r>
      <w:r>
        <w:t xml:space="preserve">v</w:t>
      </w:r>
      <w:r>
        <w:t xml:space="preserve"> </w:t>
      </w:r>
      <w:r>
        <w:t xml:space="preserve">]</w:t>
      </w:r>
    </w:p>
    <w:p>
      <w:pPr>
        <w:pStyle w:val="BodyText"/>
      </w:pPr>
      <w:r>
        <w:t xml:space="preserve">l’échelle électrofaible,</w:t>
      </w:r>
    </w:p>
    <w:p>
      <w:pPr>
        <w:pStyle w:val="BodyText"/>
      </w:pPr>
      <w:r>
        <w:t xml:space="preserve">[</w:t>
      </w:r>
      <w:r>
        <w:t xml:space="preserve"> </w:t>
      </w:r>
      <w:r>
        <w:t xml:space="preserve">_W</w:t>
      </w:r>
      <w:r>
        <w:t xml:space="preserve"> </w:t>
      </w:r>
      <w:r>
        <w:t xml:space="preserve">]</w:t>
      </w:r>
    </w:p>
    <w:p>
      <w:pPr>
        <w:pStyle w:val="BodyText"/>
      </w:pPr>
      <w:r>
        <w:t xml:space="preserve">l’orientation de jauge,</w:t>
      </w:r>
    </w:p>
    <w:p>
      <w:pPr>
        <w:pStyle w:val="BodyText"/>
      </w:pPr>
      <w:r>
        <w:t xml:space="preserve">et :</w:t>
      </w:r>
    </w:p>
    <w:p>
      <w:pPr>
        <w:pStyle w:val="BodyText"/>
      </w:pPr>
      <w:r>
        <w:t xml:space="preserve">[</w:t>
      </w:r>
      <w:r>
        <w:t xml:space="preserve"> </w:t>
      </w:r>
      <w:r>
        <w:t xml:space="preserve">G_F</w:t>
      </w:r>
      <w:r>
        <w:t xml:space="preserve"> </w:t>
      </w:r>
      <w:r>
        <w:t xml:space="preserve">]</w:t>
      </w:r>
    </w:p>
    <w:p>
      <w:pPr>
        <w:pStyle w:val="BodyText"/>
      </w:pPr>
      <w:r>
        <w:t xml:space="preserve">le coefficient effectif basse énergie.</w:t>
      </w:r>
    </w:p>
    <w:bookmarkEnd w:id="23"/>
    <w:bookmarkStart w:id="24" w:name="régime-daccès-épistémique"/>
    <w:p>
      <w:pPr>
        <w:pStyle w:val="Heading2"/>
      </w:pPr>
      <w:r>
        <w:t xml:space="preserve">4. Régime d’accès épistémique</w:t>
      </w:r>
    </w:p>
    <w:p>
      <w:pPr>
        <w:pStyle w:val="FirstParagraph"/>
      </w:pPr>
      <w:r>
        <w:t xml:space="preserve">Le régime d’accès de (M_W) n’est pas le même que son régime de définition.</w:t>
      </w:r>
    </w:p>
    <w:p>
      <w:pPr>
        <w:pStyle w:val="BodyText"/>
      </w:pPr>
      <w:r>
        <w:t xml:space="preserve">Physiquement, (M_W) appartient au régime électrofaible brisé.</w:t>
      </w:r>
    </w:p>
    <w:p>
      <w:pPr>
        <w:pStyle w:val="BodyText"/>
      </w:pPr>
      <w:r>
        <w:t xml:space="preserve">Épistémiquement, sa valeur est obtenue par mesures de précision sur des événements de collision produisant des bosons (W), notamment via des distributions cinématiques de leptons et de neutrinos dans les désintégrations du (W).</w:t>
      </w:r>
    </w:p>
    <w:p>
      <w:pPr>
        <w:pStyle w:val="BodyText"/>
      </w:pPr>
      <w:r>
        <w:t xml:space="preserve">Les mesures récentes illustrent la précision et la difficulté de cet accès. CMS a rapporté une mesure :</w:t>
      </w:r>
    </w:p>
    <w:p>
      <w:pPr>
        <w:pStyle w:val="BodyText"/>
      </w:pPr>
      <w:r>
        <w:t xml:space="preserve">[</w:t>
      </w:r>
      <w:r>
        <w:t xml:space="preserve"> </w:t>
      </w:r>
      <w:r>
        <w:t xml:space="preserve">m_W=80360.2</w:t>
      </w:r>
      <w:r>
        <w:t xml:space="preserve"> </w:t>
      </w:r>
      <w:r>
        <w:t xml:space="preserve"> </w:t>
      </w:r>
      <w:r>
        <w:t xml:space="preserve">]</w:t>
      </w:r>
    </w:p>
    <w:p>
      <w:pPr>
        <w:pStyle w:val="BodyText"/>
      </w:pPr>
      <w:r>
        <w:t xml:space="preserve">en accord avec la prédiction du Modèle standard, tandis qu’ATLAS a rapporté :</w:t>
      </w:r>
    </w:p>
    <w:p>
      <w:pPr>
        <w:pStyle w:val="BodyText"/>
      </w:pPr>
      <w:r>
        <w:t xml:space="preserve">[</w:t>
      </w:r>
      <w:r>
        <w:t xml:space="preserve"> </w:t>
      </w:r>
      <w:r>
        <w:t xml:space="preserve">m_W=80366.5</w:t>
      </w:r>
      <w:r>
        <w:t xml:space="preserve"> </w:t>
      </w:r>
      <w:r>
        <w:t xml:space="preserve"> </w:t>
      </w:r>
      <w:r>
        <w:t xml:space="preserve">]</w:t>
      </w:r>
    </w:p>
    <w:p>
      <w:pPr>
        <w:pStyle w:val="BodyText"/>
      </w:pPr>
      <w:r>
        <w:t xml:space="preserve">dans une mesure améliorée fondée sur des données à (7 </w:t>
      </w:r>
      <w:r>
        <w:t xml:space="preserve">).</w:t>
      </w:r>
    </w:p>
    <w:p>
      <w:pPr>
        <w:pStyle w:val="BodyText"/>
      </w:pPr>
      <w:r>
        <w:t xml:space="preserve">Ces valeurs ne doivent pas être utilisées ici comme simple décor numérique. Elles rappellent que (M_W) est une grandeur de précision électrofaible, sensible aux ajustements globaux, aux incertitudes expérimentales et aux corrections radiatives.</w:t>
      </w:r>
    </w:p>
    <w:bookmarkEnd w:id="24"/>
    <w:bookmarkStart w:id="25" w:name="X1ac22a66730281919dfdba39db852f0b58af646"/>
    <w:p>
      <w:pPr>
        <w:pStyle w:val="Heading2"/>
      </w:pPr>
      <w:r>
        <w:t xml:space="preserve">5. Fonction principale : échelle électrofaible</w:t>
      </w:r>
    </w:p>
    <w:p>
      <w:pPr>
        <w:pStyle w:val="FirstParagraph"/>
      </w:pPr>
      <w:r>
        <w:t xml:space="preserve">La fonction principale de (M_W) est de fixer une échelle physique dans le régime électrofaible brisé.</w:t>
      </w:r>
    </w:p>
    <w:p>
      <w:pPr>
        <w:pStyle w:val="BodyText"/>
      </w:pPr>
      <w:r>
        <w:t xml:space="preserve">Il ne s’agit pas d’un coefficient effectif comme (G_F). Il s’agit d’une masse de boson médiateur.</w:t>
      </w:r>
    </w:p>
    <w:p>
      <w:pPr>
        <w:pStyle w:val="BodyText"/>
      </w:pPr>
      <w:r>
        <w:t xml:space="preserve">La classification principale est donc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Formulation :</w:t>
      </w:r>
    </w:p>
    <w:p>
      <w:pPr>
        <w:pStyle w:val="BodyText"/>
      </w:pPr>
      <w:r>
        <w:rPr>
          <w:b/>
          <w:bCs/>
        </w:rPr>
        <w:t xml:space="preserve">(M_W) matérialise, dans le secteur chargé faible, l’échelle du régime électrofaible brisé.</w:t>
      </w:r>
    </w:p>
    <w:p>
      <w:pPr>
        <w:pStyle w:val="BodyText"/>
      </w:pPr>
      <w:r>
        <w:t xml:space="preserve">Il appartient donc d’abord à l’architecture électrofaible, avant d’appartenir à l’architecture effective basse énergie.</w:t>
      </w:r>
    </w:p>
    <w:bookmarkEnd w:id="25"/>
    <w:bookmarkStart w:id="26" w:name="fonction-transversale-seuil-de-validité"/>
    <w:p>
      <w:pPr>
        <w:pStyle w:val="Heading2"/>
      </w:pPr>
      <w:r>
        <w:t xml:space="preserve">6. Fonction transversale : seuil de validité</w:t>
      </w:r>
    </w:p>
    <w:p>
      <w:pPr>
        <w:pStyle w:val="FirstParagraph"/>
      </w:pPr>
      <w:r>
        <w:t xml:space="preserve">La fonction de seuil apparaît lorsque (M_W) est lu depuis la théorie effective de Fermi.</w:t>
      </w:r>
    </w:p>
    <w:p>
      <w:pPr>
        <w:pStyle w:val="BodyText"/>
      </w:pPr>
      <w:r>
        <w:t xml:space="preserve">À basse énergie :</w:t>
      </w:r>
    </w:p>
    <w:p>
      <w:pPr>
        <w:pStyle w:val="BodyText"/>
      </w:pPr>
      <w:r>
        <w:t xml:space="preserve">[</w:t>
      </w:r>
      <w:r>
        <w:t xml:space="preserve"> </w:t>
      </w:r>
      <w:r>
        <w:t xml:space="preserve">E</w:t>
      </w:r>
      <w:r>
        <w:t xml:space="preserve">M_W</w:t>
      </w:r>
      <w:r>
        <w:t xml:space="preserve"> </w:t>
      </w:r>
      <w:r>
        <w:t xml:space="preserve">]</w:t>
      </w:r>
    </w:p>
    <w:p>
      <w:pPr>
        <w:pStyle w:val="BodyText"/>
      </w:pPr>
      <w:r>
        <w:t xml:space="preserve">le boson (W) n’est pas résolu comme degré de liberté propagateur. Son effet peut être condensé dans une interaction locale à quatre fermions, paramétrée par :</w:t>
      </w:r>
    </w:p>
    <w:p>
      <w:pPr>
        <w:pStyle w:val="BodyText"/>
      </w:pPr>
      <w:r>
        <w:t xml:space="preserve">[</w:t>
      </w:r>
      <w:r>
        <w:t xml:space="preserve"> </w:t>
      </w:r>
      <w:r>
        <w:t xml:space="preserve">G_F</w:t>
      </w:r>
      <w:r>
        <w:t xml:space="preserve"> </w:t>
      </w:r>
      <w:r>
        <w:t xml:space="preserve">]</w:t>
      </w:r>
    </w:p>
    <w:p>
      <w:pPr>
        <w:pStyle w:val="BodyText"/>
      </w:pPr>
      <w:r>
        <w:t xml:space="preserve">Au niveau arbre :</w:t>
      </w:r>
    </w:p>
    <w:p>
      <w:pPr>
        <w:pStyle w:val="BodyText"/>
      </w:pPr>
      <w:r>
        <w:t xml:space="preserve">[</w:t>
      </w:r>
      <w:r>
        <w:t xml:space="preserve"> </w:t>
      </w:r>
      <w:r>
        <w:t xml:space="preserve">=</w:t>
      </w:r>
      <w:r>
        <w:t xml:space="preserve"> </w:t>
      </w:r>
      <w:r>
        <w:t xml:space="preserve">]</w:t>
      </w:r>
    </w:p>
    <w:p>
      <w:pPr>
        <w:pStyle w:val="BodyText"/>
      </w:pPr>
      <w:r>
        <w:t xml:space="preserve">Dans cette lecture, (M_W) marque le point à partir duquel la description effective locale perd sa suffisance. Quand l’énergie augmente et approche l’échelle du boson (W), il faut réintroduire explicitement le propagateur du (W) et la structure électrofaible complète.</w:t>
      </w:r>
    </w:p>
    <w:p>
      <w:pPr>
        <w:pStyle w:val="BodyText"/>
      </w:pPr>
      <w:r>
        <w:t xml:space="preserve">La fonction transversale est donc :</w:t>
      </w:r>
    </w:p>
    <w:p>
      <w:pPr>
        <w:pStyle w:val="BodyText"/>
      </w:pPr>
      <w:r>
        <w:t xml:space="preserve">[</w:t>
      </w:r>
      <w:r>
        <w:t xml:space="preserve"> </w:t>
      </w:r>
      <w:r>
        <w:t xml:space="preserve"> </w:t>
      </w:r>
      <w:r>
        <w:t xml:space="preserve">]</w:t>
      </w:r>
    </w:p>
    <w:p>
      <w:pPr>
        <w:pStyle w:val="BodyText"/>
      </w:pPr>
      <w:r>
        <w:t xml:space="preserve">Mais cette fonction ne remplace pas la famille principale. Elle dépend d’une lecture depuis la théorie basse énergie.</w:t>
      </w:r>
    </w:p>
    <w:p>
      <w:pPr>
        <w:pStyle w:val="BodyText"/>
      </w:pPr>
      <w:r>
        <w:t xml:space="preserve">Formulation :</w:t>
      </w:r>
    </w:p>
    <w:p>
      <w:pPr>
        <w:pStyle w:val="BodyText"/>
      </w:pPr>
      <w:r>
        <w:rPr>
          <w:b/>
          <w:bCs/>
        </w:rPr>
        <w:t xml:space="preserve">(M_W) est seuil seulement relativement à une description effective qui ne le résout pas.</w:t>
      </w:r>
    </w:p>
    <w:bookmarkEnd w:id="26"/>
    <w:bookmarkStart w:id="27" w:name="relation-avec-g_f"/>
    <w:p>
      <w:pPr>
        <w:pStyle w:val="Heading2"/>
      </w:pPr>
      <w:r>
        <w:t xml:space="preserve">7. Relation avec (G_F)</w:t>
      </w:r>
    </w:p>
    <w:p>
      <w:pPr>
        <w:pStyle w:val="FirstParagraph"/>
      </w:pPr>
      <w:r>
        <w:t xml:space="preserve">La relation entre (G_F) et (M_W) est le premier test interne de l’architecture effective basse énergie.</w:t>
      </w:r>
    </w:p>
    <w:p>
      <w:pPr>
        <w:pStyle w:val="BodyText"/>
      </w:pPr>
      <w:r>
        <w:t xml:space="preserve">[</w:t>
      </w:r>
      <w:r>
        <w:t xml:space="preserve"> </w:t>
      </w:r>
      <w:r>
        <w:t xml:space="preserve">G_F</w:t>
      </w:r>
      <w:r>
        <w:t xml:space="preserve"> </w:t>
      </w:r>
      <w:r>
        <w:t xml:space="preserve">]</w:t>
      </w:r>
    </w:p>
    <w:p>
      <w:pPr>
        <w:pStyle w:val="BodyText"/>
      </w:pPr>
      <w:r>
        <w:t xml:space="preserve">répond à la question :</w:t>
      </w:r>
    </w:p>
    <w:p>
      <w:pPr>
        <w:pStyle w:val="BodyText"/>
      </w:pPr>
      <w:r>
        <w:t xml:space="preserve">[</w:t>
      </w:r>
      <w:r>
        <w:t xml:space="preserve"> </w:t>
      </w:r>
      <w:r>
        <w:t xml:space="preserve"> </w:t>
      </w:r>
      <w:r>
        <w:t xml:space="preserve">W</w:t>
      </w:r>
      <w:r>
        <w:t xml:space="preserve"> </w:t>
      </w:r>
      <w:r>
        <w:t xml:space="preserve"> </w:t>
      </w:r>
      <w:r>
        <w:t xml:space="preserve">]</w:t>
      </w:r>
    </w:p>
    <w:p>
      <w:pPr>
        <w:pStyle w:val="BodyText"/>
      </w:pPr>
      <w:r>
        <w:t xml:space="preserve">[</w:t>
      </w:r>
      <w:r>
        <w:t xml:space="preserve"> </w:t>
      </w:r>
      <w:r>
        <w:t xml:space="preserve">M_W</w:t>
      </w:r>
      <w:r>
        <w:t xml:space="preserve"> </w:t>
      </w:r>
      <w:r>
        <w:t xml:space="preserve">]</w:t>
      </w:r>
    </w:p>
    <w:p>
      <w:pPr>
        <w:pStyle w:val="BodyText"/>
      </w:pPr>
      <w:r>
        <w:t xml:space="preserve">répond à la question :</w:t>
      </w:r>
    </w:p>
    <w:p>
      <w:pPr>
        <w:pStyle w:val="BodyText"/>
      </w:pPr>
      <w:r>
        <w:t xml:space="preserve">[</w:t>
      </w:r>
      <w:r>
        <w:t xml:space="preserve"> </w:t>
      </w:r>
      <w:r>
        <w:t xml:space="preserve"> </w:t>
      </w:r>
      <w:r>
        <w:t xml:space="preserve">]</w:t>
      </w:r>
    </w:p>
    <w:p>
      <w:pPr>
        <w:pStyle w:val="BodyText"/>
      </w:pPr>
      <w:r>
        <w:t xml:space="preserve">Les deux grandeurs n’ont donc pas la même famille principale.</w:t>
      </w:r>
    </w:p>
    <w:p>
      <w:pPr>
        <w:pStyle w:val="BodyText"/>
      </w:pPr>
      <w:r>
        <w:t xml:space="preserve">[</w:t>
      </w:r>
      <w:r>
        <w:t xml:space="preserve"> </w:t>
      </w:r>
      <w:r>
        <w:t xml:space="preserve">G_F</w:t>
      </w:r>
      <w:r>
        <w:t xml:space="preserve"> </w:t>
      </w:r>
      <w:r>
        <w:t xml:space="preserve">]</w:t>
      </w:r>
    </w:p>
    <w:p>
      <w:pPr>
        <w:pStyle w:val="BodyText"/>
      </w:pPr>
      <w:r>
        <w:t xml:space="preserve">relève de :</w:t>
      </w:r>
    </w:p>
    <w:p>
      <w:pPr>
        <w:pStyle w:val="BodyText"/>
      </w:pPr>
      <w:r>
        <w:t xml:space="preserve">[</w:t>
      </w:r>
      <w:r>
        <w:t xml:space="preserve"> </w:t>
      </w:r>
      <w:r>
        <w:t xml:space="preserve"> </w:t>
      </w:r>
      <w:r>
        <w:t xml:space="preserve">]</w:t>
      </w:r>
    </w:p>
    <w:p>
      <w:pPr>
        <w:pStyle w:val="BodyText"/>
      </w:pPr>
      <w:r>
        <w:t xml:space="preserve">[</w:t>
      </w:r>
      <w:r>
        <w:t xml:space="preserve"> </w:t>
      </w:r>
      <w:r>
        <w:t xml:space="preserve">M_W</w:t>
      </w:r>
      <w:r>
        <w:t xml:space="preserve"> </w:t>
      </w:r>
      <w:r>
        <w:t xml:space="preserve">]</w:t>
      </w:r>
    </w:p>
    <w:p>
      <w:pPr>
        <w:pStyle w:val="BodyText"/>
      </w:pPr>
      <w:r>
        <w:t xml:space="preserve">relève de :</w:t>
      </w:r>
    </w:p>
    <w:p>
      <w:pPr>
        <w:pStyle w:val="BodyText"/>
      </w:pPr>
      <w:r>
        <w:t xml:space="preserve">[</w:t>
      </w:r>
      <w:r>
        <w:t xml:space="preserve"> </w:t>
      </w:r>
      <w:r>
        <w:t xml:space="preserve"> </w:t>
      </w:r>
      <w:r>
        <w:t xml:space="preserve">]</w:t>
      </w:r>
    </w:p>
    <w:p>
      <w:pPr>
        <w:pStyle w:val="BodyText"/>
      </w:pPr>
      <w:r>
        <w:t xml:space="preserve">Mais elles appartiennent à la même architecture effective basse énergie, parce qu’elles décrivent deux faces du même passage :</w:t>
      </w:r>
    </w:p>
    <w:p>
      <w:pPr>
        <w:pStyle w:val="BodyText"/>
      </w:pPr>
      <w:r>
        <w:t xml:space="preserve">[</w:t>
      </w:r>
      <w:r>
        <w:t xml:space="preserve"> </w:t>
      </w:r>
      <w:r>
        <w:t xml:space="preserve"> </w:t>
      </w:r>
      <w:r>
        <w:t xml:space="preserve"> </w:t>
      </w:r>
      <w:r>
        <w:t xml:space="preserve"> </w:t>
      </w:r>
      <w:r>
        <w:t xml:space="preserve">]</w:t>
      </w:r>
    </w:p>
    <w:p>
      <w:pPr>
        <w:pStyle w:val="BodyText"/>
      </w:pPr>
      <w:r>
        <w:t xml:space="preserve">Formule :</w:t>
      </w:r>
    </w:p>
    <w:p>
      <w:pPr>
        <w:pStyle w:val="BodyText"/>
      </w:pPr>
      <w:r>
        <w:t xml:space="preserve">[</w:t>
      </w:r>
      <w:r>
        <w:t xml:space="preserve"> </w:t>
      </w:r>
      <w:r>
        <w:t xml:space="preserve">G_F</w:t>
      </w:r>
      <w:r>
        <w:t xml:space="preserve"> </w:t>
      </w:r>
      <w:r>
        <w:t xml:space="preserve"> </w:t>
      </w:r>
      <w:r>
        <w:t xml:space="preserve">W</w:t>
      </w:r>
      <w:r>
        <w:t xml:space="preserve"> </w:t>
      </w:r>
      <w:r>
        <w:t xml:space="preserve">]</w:t>
      </w:r>
    </w:p>
    <w:p>
      <w:pPr>
        <w:pStyle w:val="BodyText"/>
      </w:pPr>
      <w:r>
        <w:t xml:space="preserve">[</w:t>
      </w:r>
      <w:r>
        <w:t xml:space="preserve"> </w:t>
      </w:r>
      <w:r>
        <w:t xml:space="preserve">M_W</w:t>
      </w:r>
      <w:r>
        <w:t xml:space="preserve"> </w:t>
      </w:r>
      <w:r>
        <w:t xml:space="preserve"> </w:t>
      </w:r>
      <w:r>
        <w:t xml:space="preserve">]</w:t>
      </w:r>
    </w:p>
    <w:bookmarkEnd w:id="27"/>
    <w:bookmarkStart w:id="28" w:name="relation-avec-v"/>
    <w:p>
      <w:pPr>
        <w:pStyle w:val="Heading2"/>
      </w:pPr>
      <w:r>
        <w:t xml:space="preserve">8. Relation avec (v)</w:t>
      </w:r>
    </w:p>
    <w:p>
      <w:pPr>
        <w:pStyle w:val="FirstParagraph"/>
      </w:pPr>
      <w:r>
        <w:t xml:space="preserve">Le lien :</w:t>
      </w:r>
    </w:p>
    <w:p>
      <w:pPr>
        <w:pStyle w:val="BodyText"/>
      </w:pPr>
      <w:r>
        <w:t xml:space="preserve">[</w:t>
      </w:r>
      <w:r>
        <w:t xml:space="preserve"> </w:t>
      </w:r>
      <w:r>
        <w:t xml:space="preserve">M_W=</w:t>
      </w:r>
      <w:r>
        <w:t xml:space="preserve">gv</w:t>
      </w:r>
      <w:r>
        <w:t xml:space="preserve"> </w:t>
      </w:r>
      <w:r>
        <w:t xml:space="preserve">]</w:t>
      </w:r>
    </w:p>
    <w:p>
      <w:pPr>
        <w:pStyle w:val="BodyText"/>
      </w:pPr>
      <w:r>
        <w:t xml:space="preserve">montre que (M_W) n’est pas l’échelle électrofaible ultime au même sens que (v).</w:t>
      </w:r>
    </w:p>
    <w:p>
      <w:pPr>
        <w:pStyle w:val="BodyText"/>
      </w:pPr>
      <w:r>
        <w:t xml:space="preserve">[</w:t>
      </w:r>
      <w:r>
        <w:t xml:space="preserve"> </w:t>
      </w:r>
      <w:r>
        <w:t xml:space="preserve">v</w:t>
      </w:r>
      <w:r>
        <w:t xml:space="preserve"> </w:t>
      </w:r>
      <w:r>
        <w:t xml:space="preserve">]</w:t>
      </w:r>
    </w:p>
    <w:p>
      <w:pPr>
        <w:pStyle w:val="BodyText"/>
      </w:pPr>
      <w:r>
        <w:t xml:space="preserve">est l’échelle structurante du régime électrofaible brisé.</w:t>
      </w:r>
    </w:p>
    <w:p>
      <w:pPr>
        <w:pStyle w:val="BodyText"/>
      </w:pPr>
      <w:r>
        <w:t xml:space="preserve">[</w:t>
      </w:r>
      <w:r>
        <w:t xml:space="preserve"> </w:t>
      </w:r>
      <w:r>
        <w:t xml:space="preserve">M_W</w:t>
      </w:r>
      <w:r>
        <w:t xml:space="preserve"> </w:t>
      </w:r>
      <w:r>
        <w:t xml:space="preserve">]</w:t>
      </w:r>
    </w:p>
    <w:p>
      <w:pPr>
        <w:pStyle w:val="BodyText"/>
      </w:pPr>
      <w:r>
        <w:t xml:space="preserve">est une masse de jauge produite par l’articulation entre (v) et le couplage faible (g).</w:t>
      </w:r>
    </w:p>
    <w:p>
      <w:pPr>
        <w:pStyle w:val="BodyText"/>
      </w:pPr>
      <w:r>
        <w:t xml:space="preserve">Il faut donc éviter deux confusions.</w:t>
      </w:r>
    </w:p>
    <w:p>
      <w:pPr>
        <w:pStyle w:val="BodyText"/>
      </w:pPr>
      <w:r>
        <w:t xml:space="preserve">Première confusion :</w:t>
      </w:r>
    </w:p>
    <w:p>
      <w:pPr>
        <w:pStyle w:val="BodyText"/>
      </w:pPr>
      <w:r>
        <w:t xml:space="preserve">[</w:t>
      </w:r>
      <w:r>
        <w:t xml:space="preserve"> </w:t>
      </w:r>
      <w:r>
        <w:t xml:space="preserve">M_W = v</w:t>
      </w:r>
      <w:r>
        <w:t xml:space="preserve"> </w:t>
      </w:r>
      <w:r>
        <w:t xml:space="preserve">]</w:t>
      </w:r>
    </w:p>
    <w:p>
      <w:pPr>
        <w:pStyle w:val="BodyText"/>
      </w:pPr>
      <w:r>
        <w:t xml:space="preserve">Non. (M_W) dépend aussi du couplage (g).</w:t>
      </w:r>
    </w:p>
    <w:p>
      <w:pPr>
        <w:pStyle w:val="BodyText"/>
      </w:pPr>
      <w:r>
        <w:t xml:space="preserve">Deuxième confusion :</w:t>
      </w:r>
    </w:p>
    <w:p>
      <w:pPr>
        <w:pStyle w:val="BodyText"/>
      </w:pPr>
      <w:r>
        <w:t xml:space="preserve">[</w:t>
      </w:r>
      <w:r>
        <w:t xml:space="preserve"> </w:t>
      </w:r>
      <w:r>
        <w:t xml:space="preserve">M_W</w:t>
      </w:r>
      <w:r>
        <w:t xml:space="preserve"> </w:t>
      </w:r>
      <w:r>
        <w:t xml:space="preserve"> </w:t>
      </w:r>
      <w:r>
        <w:t xml:space="preserve">]</w:t>
      </w:r>
    </w:p>
    <w:p>
      <w:pPr>
        <w:pStyle w:val="BodyText"/>
      </w:pPr>
      <w:r>
        <w:t xml:space="preserve">Non. (M_W) est d’abord une masse de jauge du régime brisé.</w:t>
      </w:r>
    </w:p>
    <w:p>
      <w:pPr>
        <w:pStyle w:val="BodyText"/>
      </w:pPr>
      <w:r>
        <w:t xml:space="preserve">Lecture correcte :</w:t>
      </w:r>
    </w:p>
    <w:p>
      <w:pPr>
        <w:pStyle w:val="BodyText"/>
      </w:pPr>
      <w:r>
        <w:t xml:space="preserve">[</w:t>
      </w:r>
      <w:r>
        <w:t xml:space="preserve"> </w:t>
      </w:r>
      <w:r>
        <w:t xml:space="preserve">v</w:t>
      </w:r>
      <w:r>
        <w:t xml:space="preserve"> </w:t>
      </w:r>
      <w:r>
        <w:t xml:space="preserve">=</w:t>
      </w:r>
      <w:r>
        <w:t xml:space="preserve"> </w:t>
      </w:r>
      <w:r>
        <w:t xml:space="preserve"> </w:t>
      </w:r>
      <w:r>
        <w:t xml:space="preserve">]</w:t>
      </w:r>
    </w:p>
    <w:p>
      <w:pPr>
        <w:pStyle w:val="BodyText"/>
      </w:pPr>
      <w:r>
        <w:t xml:space="preserve">[</w:t>
      </w:r>
      <w:r>
        <w:t xml:space="preserve"> </w:t>
      </w:r>
      <w:r>
        <w:t xml:space="preserve">M_W</w:t>
      </w:r>
      <w:r>
        <w:t xml:space="preserve"> </w:t>
      </w:r>
      <w:r>
        <w:t xml:space="preserve">=</w:t>
      </w:r>
      <w:r>
        <w:t xml:space="preserve"> </w:t>
      </w:r>
      <w:r>
        <w:t xml:space="preserve"> </w:t>
      </w:r>
      <w:r>
        <w:t xml:space="preserve">]</w:t>
      </w:r>
    </w:p>
    <w:p>
      <w:pPr>
        <w:pStyle w:val="BodyText"/>
      </w:pPr>
      <w:r>
        <w:t xml:space="preserve">[</w:t>
      </w:r>
      <w:r>
        <w:t xml:space="preserve"> </w:t>
      </w:r>
      <w:r>
        <w:t xml:space="preserve">G_F</w:t>
      </w:r>
      <w:r>
        <w:t xml:space="preserve"> </w:t>
      </w:r>
      <w:r>
        <w:t xml:space="preserve">=</w:t>
      </w:r>
      <w:r>
        <w:t xml:space="preserve"> </w:t>
      </w:r>
      <w:r>
        <w:t xml:space="preserve"> </w:t>
      </w:r>
      <w:r>
        <w:t xml:space="preserve">]</w:t>
      </w:r>
    </w:p>
    <w:bookmarkEnd w:id="28"/>
    <w:bookmarkStart w:id="29" w:name="relation-avec-_w"/>
    <w:p>
      <w:pPr>
        <w:pStyle w:val="Heading2"/>
      </w:pPr>
      <w:r>
        <w:t xml:space="preserve">9. Relation avec (</w:t>
      </w:r>
      <w:r>
        <w:t xml:space="preserve">_W)</w:t>
      </w:r>
    </w:p>
    <w:p>
      <w:pPr>
        <w:pStyle w:val="FirstParagraph"/>
      </w:pPr>
      <w:r>
        <w:t xml:space="preserve">La relation :</w:t>
      </w:r>
    </w:p>
    <w:p>
      <w:pPr>
        <w:pStyle w:val="BodyText"/>
      </w:pPr>
      <w:r>
        <w:t xml:space="preserve">[</w:t>
      </w:r>
      <w:r>
        <w:t xml:space="preserve"> </w:t>
      </w:r>
      <w:r>
        <w:t xml:space="preserve">M_W=M_Z</w:t>
      </w:r>
      <w:r>
        <w:t xml:space="preserve">_W</w:t>
      </w:r>
      <w:r>
        <w:t xml:space="preserve"> </w:t>
      </w:r>
      <w:r>
        <w:t xml:space="preserve">]</w:t>
      </w:r>
    </w:p>
    <w:p>
      <w:pPr>
        <w:pStyle w:val="BodyText"/>
      </w:pPr>
      <w:r>
        <w:t xml:space="preserve">montre que (M_W) est aussi lié à l’orientation électrofaible.</w:t>
      </w:r>
    </w:p>
    <w:p>
      <w:pPr>
        <w:pStyle w:val="BodyText"/>
      </w:pPr>
      <w:r>
        <w:t xml:space="preserve">Mais cette relation ne fait pas de (M_W) une constante d’orientation.</w:t>
      </w:r>
    </w:p>
    <w:p>
      <w:pPr>
        <w:pStyle w:val="BodyText"/>
      </w:pPr>
      <w:r>
        <w:t xml:space="preserve">[</w:t>
      </w:r>
      <w:r>
        <w:t xml:space="preserve"> </w:t>
      </w:r>
      <w:r>
        <w:t xml:space="preserve">_W</w:t>
      </w:r>
      <w:r>
        <w:t xml:space="preserve"> </w:t>
      </w:r>
      <w:r>
        <w:t xml:space="preserve">]</w:t>
      </w:r>
    </w:p>
    <w:p>
      <w:pPr>
        <w:pStyle w:val="BodyText"/>
      </w:pPr>
      <w:r>
        <w:t xml:space="preserve">oriente le mélange entre champs électrofaibles neutres.</w:t>
      </w:r>
    </w:p>
    <w:p>
      <w:pPr>
        <w:pStyle w:val="BodyText"/>
      </w:pPr>
      <w:r>
        <w:t xml:space="preserve">[</w:t>
      </w:r>
      <w:r>
        <w:t xml:space="preserve"> </w:t>
      </w:r>
      <w:r>
        <w:t xml:space="preserve">M_W</w:t>
      </w:r>
      <w:r>
        <w:t xml:space="preserve"> </w:t>
      </w:r>
      <w:r>
        <w:t xml:space="preserve">]</w:t>
      </w:r>
    </w:p>
    <w:p>
      <w:pPr>
        <w:pStyle w:val="BodyText"/>
      </w:pPr>
      <w:r>
        <w:t xml:space="preserve">fixe la masse du boson chargé.</w:t>
      </w:r>
    </w:p>
    <w:p>
      <w:pPr>
        <w:pStyle w:val="BodyText"/>
      </w:pPr>
      <w:r>
        <w:t xml:space="preserve">La relation entre les deux appartient à l’architecture électrofaible, mais leur famille principale reste distincte :</w:t>
      </w:r>
    </w:p>
    <w:p>
      <w:pPr>
        <w:pStyle w:val="BodyText"/>
      </w:pPr>
      <w:r>
        <w:t xml:space="preserve">[</w:t>
      </w:r>
      <w:r>
        <w:t xml:space="preserve"> </w:t>
      </w:r>
      <w:r>
        <w:t xml:space="preserve">M_W :</w:t>
      </w:r>
      <w:r>
        <w:t xml:space="preserve"> </w:t>
      </w:r>
      <w:r>
        <w:t xml:space="preserve"> </w:t>
      </w:r>
      <w:r>
        <w:t xml:space="preserve">]</w:t>
      </w:r>
    </w:p>
    <w:p>
      <w:pPr>
        <w:pStyle w:val="BodyText"/>
      </w:pPr>
      <w:r>
        <w:t xml:space="preserve">[</w:t>
      </w:r>
      <w:r>
        <w:t xml:space="preserve"> </w:t>
      </w:r>
      <w:r>
        <w:t xml:space="preserve">_W :</w:t>
      </w:r>
      <w:r>
        <w:t xml:space="preserve"> </w:t>
      </w:r>
      <w:r>
        <w:t xml:space="preserve"> </w:t>
      </w:r>
      <w:r>
        <w:t xml:space="preserve">]</w:t>
      </w:r>
    </w:p>
    <w:p>
      <w:pPr>
        <w:pStyle w:val="BodyText"/>
      </w:pPr>
      <w:r>
        <w:t xml:space="preserve">Ce point confirme l’utilité des architectures inter-familles : plusieurs familles peuvent être nécessaires pour lire une même structure physique.</w:t>
      </w:r>
    </w:p>
    <w:bookmarkEnd w:id="29"/>
    <w:bookmarkStart w:id="30" w:name="fonction-de-validité"/>
    <w:p>
      <w:pPr>
        <w:pStyle w:val="Heading2"/>
      </w:pPr>
      <w:r>
        <w:t xml:space="preserve">10. Fonction de validité</w:t>
      </w:r>
    </w:p>
    <w:p>
      <w:pPr>
        <w:pStyle w:val="FirstParagraph"/>
      </w:pPr>
      <w:r>
        <w:t xml:space="preserve">La fonction de validité est plus précise que la fonction seuil.</w:t>
      </w:r>
    </w:p>
    <w:p>
      <w:pPr>
        <w:pStyle w:val="BodyText"/>
      </w:pPr>
      <w:r>
        <w:t xml:space="preserve">Le seuil dit :</w:t>
      </w:r>
    </w:p>
    <w:p>
      <w:pPr>
        <w:pStyle w:val="BodyText"/>
      </w:pPr>
      <w:r>
        <w:t xml:space="preserve">[</w:t>
      </w:r>
      <w:r>
        <w:t xml:space="preserve"> </w:t>
      </w:r>
      <w:r>
        <w:t xml:space="preserve"> </w:t>
      </w:r>
      <w:r>
        <w:t xml:space="preserve">]</w:t>
      </w:r>
    </w:p>
    <w:p>
      <w:pPr>
        <w:pStyle w:val="BodyText"/>
      </w:pPr>
      <w:r>
        <w:t xml:space="preserve">La validité dit :</w:t>
      </w:r>
    </w:p>
    <w:p>
      <w:pPr>
        <w:pStyle w:val="BodyText"/>
      </w:pPr>
      <w:r>
        <w:t xml:space="preserve">[</w:t>
      </w:r>
      <w:r>
        <w:t xml:space="preserve"> </w:t>
      </w:r>
      <w:r>
        <w:t xml:space="preserve"> </w:t>
      </w:r>
      <w:r>
        <w:t xml:space="preserve">]</w:t>
      </w:r>
    </w:p>
    <w:p>
      <w:pPr>
        <w:pStyle w:val="BodyText"/>
      </w:pPr>
      <w:r>
        <w:t xml:space="preserve">Pour (M_W), la distinction est :</w:t>
      </w:r>
    </w:p>
    <w:p>
      <w:pPr>
        <w:pStyle w:val="BodyText"/>
      </w:pPr>
      <w:r>
        <w:t xml:space="preserve">[</w:t>
      </w:r>
      <w:r>
        <w:t xml:space="preserve"> </w:t>
      </w:r>
      <w:r>
        <w:t xml:space="preserve">E</w:t>
      </w:r>
      <w:r>
        <w:t xml:space="preserve">M_W</w:t>
      </w:r>
      <w:r>
        <w:t xml:space="preserve"> </w:t>
      </w:r>
      <w:r>
        <w:t xml:space="preserve">]</w:t>
      </w:r>
    </w:p>
    <w:p>
      <w:pPr>
        <w:pStyle w:val="BodyText"/>
      </w:pPr>
      <w:r>
        <w:t xml:space="preserve">description effective locale de Fermi,</w:t>
      </w:r>
    </w:p>
    <w:p>
      <w:pPr>
        <w:pStyle w:val="BodyText"/>
      </w:pPr>
      <w:r>
        <w:t xml:space="preserve">[</w:t>
      </w:r>
      <w:r>
        <w:t xml:space="preserve"> </w:t>
      </w:r>
      <w:r>
        <w:t xml:space="preserve">E</w:t>
      </w:r>
      <w:r>
        <w:t xml:space="preserve">M_W</w:t>
      </w:r>
      <w:r>
        <w:t xml:space="preserve"> </w:t>
      </w:r>
      <w:r>
        <w:t xml:space="preserve">]</w:t>
      </w:r>
    </w:p>
    <w:p>
      <w:pPr>
        <w:pStyle w:val="BodyText"/>
      </w:pPr>
      <w:r>
        <w:t xml:space="preserve">description électrofaible avec boson (W) explicite,</w:t>
      </w:r>
    </w:p>
    <w:p>
      <w:pPr>
        <w:pStyle w:val="BodyText"/>
      </w:pPr>
      <w:r>
        <w:t xml:space="preserve">[</w:t>
      </w:r>
      <w:r>
        <w:t xml:space="preserve"> </w:t>
      </w:r>
      <w:r>
        <w:t xml:space="preserve">E</w:t>
      </w:r>
      <w:r>
        <w:t xml:space="preserve">M_W</w:t>
      </w:r>
      <w:r>
        <w:t xml:space="preserve"> </w:t>
      </w:r>
      <w:r>
        <w:t xml:space="preserve">]</w:t>
      </w:r>
    </w:p>
    <w:p>
      <w:pPr>
        <w:pStyle w:val="BodyText"/>
      </w:pPr>
      <w:r>
        <w:t xml:space="preserve">régime où l’unification électrofaible, les corrections radiatives et les degrés de liberté complets deviennent indispensables.</w:t>
      </w:r>
    </w:p>
    <w:p>
      <w:pPr>
        <w:pStyle w:val="BodyText"/>
      </w:pPr>
      <w:r>
        <w:t xml:space="preserve">Ainsi, (M_W) ne marque pas seulement une valeur de masse. Il organise une carte des descriptions.</w:t>
      </w:r>
    </w:p>
    <w:p>
      <w:pPr>
        <w:pStyle w:val="BodyText"/>
      </w:pPr>
      <w:r>
        <w:t xml:space="preserve">Formulation :</w:t>
      </w:r>
    </w:p>
    <w:p>
      <w:pPr>
        <w:pStyle w:val="BodyText"/>
      </w:pPr>
      <w:r>
        <w:rPr>
          <w:b/>
          <w:bCs/>
        </w:rPr>
        <w:t xml:space="preserve">(M_W) est une échelle de validité parce qu’il indique quand une interaction médiée peut être traitée comme locale.</w:t>
      </w:r>
    </w:p>
    <w:bookmarkEnd w:id="30"/>
    <w:bookmarkStart w:id="31" w:name="stabilisation-empirique"/>
    <w:p>
      <w:pPr>
        <w:pStyle w:val="Heading2"/>
      </w:pPr>
      <w:r>
        <w:t xml:space="preserve">11. Stabilisation empirique</w:t>
      </w:r>
    </w:p>
    <w:p>
      <w:pPr>
        <w:pStyle w:val="FirstParagraph"/>
      </w:pPr>
      <w:r>
        <w:t xml:space="preserve">La stabilisation empirique de (M_W) est forte, mais non triviale.</w:t>
      </w:r>
    </w:p>
    <w:p>
      <w:pPr>
        <w:pStyle w:val="BodyText"/>
      </w:pPr>
      <w:r>
        <w:t xml:space="preserve">Elle ne vient pas d’une mesure simple. Elle dépend de reconstructions cinématiques, de modèles de production, d’incertitudes expérimentales et de comparaisons avec les ajustements électrofaibles.</w:t>
      </w:r>
    </w:p>
    <w:p>
      <w:pPr>
        <w:pStyle w:val="BodyText"/>
      </w:pPr>
      <w:r>
        <w:t xml:space="preserve">La masse du (W) est aussi un observable de précision important pour tester la cohérence interne du Modèle standard et chercher d’éventuels effets de nouvelle physique. Une revue récente souligne que la comparaison entre les mesures directes de (M_W) et les prédictions du fit électrofaible global demeure un test essentiel du secteur électrofaible.</w:t>
      </w:r>
    </w:p>
    <w:p>
      <w:pPr>
        <w:pStyle w:val="BodyText"/>
      </w:pPr>
      <w:r>
        <w:t xml:space="preserve">La stabilisation doit donc être formulée ainsi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p>
      <w:pPr>
        <w:pStyle w:val="BodyText"/>
      </w:pPr>
      <w:r>
        <w:t xml:space="preserve">Ce n’est pas une constante fixée une fois pour toutes par convention.</w:t>
      </w:r>
    </w:p>
    <w:bookmarkEnd w:id="31"/>
    <w:bookmarkStart w:id="32" w:name="stabilisation-conventionnelle"/>
    <w:p>
      <w:pPr>
        <w:pStyle w:val="Heading2"/>
      </w:pPr>
      <w:r>
        <w:t xml:space="preserve">12. Stabilisation conventionnelle</w:t>
      </w:r>
    </w:p>
    <w:p>
      <w:pPr>
        <w:pStyle w:val="FirstParagraph"/>
      </w:pPr>
      <w:r>
        <w:t xml:space="preserve">(M_W) n’est pas une constante définissante du SI.</w:t>
      </w:r>
    </w:p>
    <w:p>
      <w:pPr>
        <w:pStyle w:val="BodyText"/>
      </w:pPr>
      <w:r>
        <w:t xml:space="preserve">Sa valeur est mesurée ou reconstruite dans un cadre expérimental et théorique.</w:t>
      </w:r>
    </w:p>
    <w:p>
      <w:pPr>
        <w:pStyle w:val="BodyText"/>
      </w:pPr>
      <w:r>
        <w:t xml:space="preserve">Stabilisation conventionnelle :</w:t>
      </w:r>
    </w:p>
    <w:p>
      <w:pPr>
        <w:pStyle w:val="BodyText"/>
      </w:pPr>
      <w:r>
        <w:t xml:space="preserve">[</w:t>
      </w:r>
      <w:r>
        <w:t xml:space="preserve"> </w:t>
      </w:r>
      <w:r>
        <w:t xml:space="preserve"> </w:t>
      </w:r>
      <w:r>
        <w:t xml:space="preserve">]</w:t>
      </w:r>
    </w:p>
    <w:p>
      <w:pPr>
        <w:pStyle w:val="BodyText"/>
      </w:pPr>
      <w:r>
        <w:t xml:space="preserve">Il faut donc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(M_W) relève de la première, non de la seconde.</w:t>
      </w:r>
    </w:p>
    <w:bookmarkEnd w:id="32"/>
    <w:bookmarkStart w:id="33" w:name="lecture-par-la-matrice-v0.8"/>
    <w:p>
      <w:pPr>
        <w:pStyle w:val="Heading2"/>
      </w:pPr>
      <w:r>
        <w:t xml:space="preserve">13. Lecture par la matrice v0.8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(M_W)</w:t>
            </w:r>
          </w:p>
        </w:tc>
      </w:tr>
      <w:tr>
        <w:tc>
          <w:tcPr/>
          <w:p>
            <w:pPr>
              <w:pStyle w:val="Compact"/>
            </w:pPr>
            <w:r>
              <w:t xml:space="preserve">Grandeur</w:t>
            </w:r>
          </w:p>
        </w:tc>
        <w:tc>
          <w:tcPr/>
          <w:p>
            <w:pPr>
              <w:pStyle w:val="Compact"/>
            </w:pPr>
            <w:r>
              <w:t xml:space="preserve">(M_W)</w:t>
            </w:r>
          </w:p>
        </w:tc>
      </w:tr>
      <w:tr>
        <w:tc>
          <w:tcPr/>
          <w:p>
            <w:pPr>
              <w:pStyle w:val="Compact"/>
            </w:pPr>
            <w:r>
              <w:t xml:space="preserve">Type logique</w:t>
            </w:r>
          </w:p>
        </w:tc>
        <w:tc>
          <w:tcPr/>
          <w:p>
            <w:pPr>
              <w:pStyle w:val="Compact"/>
            </w:pPr>
            <w:r>
              <w:t xml:space="preserve">Masse / échelle d’énergie</w:t>
            </w:r>
          </w:p>
        </w:tc>
      </w:tr>
      <w:tr>
        <w:tc>
          <w:tcPr/>
          <w:p>
            <w:pPr>
              <w:pStyle w:val="Compact"/>
            </w:pPr>
            <w:r>
              <w:t xml:space="preserve">Dimension</w:t>
            </w:r>
          </w:p>
        </w:tc>
        <w:tc>
          <w:tcPr/>
          <w:p>
            <w:pPr>
              <w:pStyle w:val="Compact"/>
            </w:pPr>
            <w:r>
              <w:t xml:space="preserve">([E])</w:t>
            </w:r>
          </w:p>
        </w:tc>
      </w:tr>
      <w:tr>
        <w:tc>
          <w:tcPr/>
          <w:p>
            <w:pPr>
              <w:pStyle w:val="Compact"/>
            </w:pPr>
            <w:r>
              <w:t xml:space="preserve">Famille principale</w:t>
            </w:r>
          </w:p>
        </w:tc>
        <w:tc>
          <w:tcPr/>
          <w:p>
            <w:pPr>
              <w:pStyle w:val="Compact"/>
            </w:pPr>
            <w:r>
              <w:t xml:space="preserve">Échelle</w:t>
            </w:r>
          </w:p>
        </w:tc>
      </w:tr>
      <w:tr>
        <w:tc>
          <w:tcPr/>
          <w:p>
            <w:pPr>
              <w:pStyle w:val="Compact"/>
            </w:pPr>
            <w:r>
              <w:t xml:space="preserve">Sous-type local</w:t>
            </w:r>
          </w:p>
        </w:tc>
        <w:tc>
          <w:tcPr/>
          <w:p>
            <w:pPr>
              <w:pStyle w:val="Compact"/>
            </w:pPr>
            <w:r>
              <w:t xml:space="preserve">Échelle électrofaible de jauge</w:t>
            </w:r>
          </w:p>
        </w:tc>
      </w:tr>
      <w:tr>
        <w:tc>
          <w:tcPr/>
          <w:p>
            <w:pPr>
              <w:pStyle w:val="Compact"/>
            </w:pPr>
            <w:r>
              <w:t xml:space="preserve">Fonction transversale</w:t>
            </w:r>
          </w:p>
        </w:tc>
        <w:tc>
          <w:tcPr/>
          <w:p>
            <w:pPr>
              <w:pStyle w:val="Compact"/>
            </w:pPr>
            <w:r>
              <w:t xml:space="preserve">Seuil, validité, hiérarchie</w:t>
            </w:r>
          </w:p>
        </w:tc>
      </w:tr>
      <w:tr>
        <w:tc>
          <w:tcPr/>
          <w:p>
            <w:pPr>
              <w:pStyle w:val="Compact"/>
            </w:pPr>
            <w:r>
              <w:t xml:space="preserve">Fonction architecturale</w:t>
            </w:r>
          </w:p>
        </w:tc>
        <w:tc>
          <w:tcPr/>
          <w:p>
            <w:pPr>
              <w:pStyle w:val="Compact"/>
            </w:pPr>
            <w:r>
              <w:t xml:space="preserve">Non principale</w:t>
            </w:r>
          </w:p>
        </w:tc>
      </w:tr>
      <w:tr>
        <w:tc>
          <w:tcPr/>
          <w:p>
            <w:pPr>
              <w:pStyle w:val="Compact"/>
            </w:pPr>
            <w:r>
              <w:t xml:space="preserve">Régime de définition physique</w:t>
            </w:r>
          </w:p>
        </w:tc>
        <w:tc>
          <w:tcPr/>
          <w:p>
            <w:pPr>
              <w:pStyle w:val="Compact"/>
            </w:pPr>
            <w:r>
              <w:t xml:space="preserve">Régime électrofaible brisé</w:t>
            </w:r>
          </w:p>
        </w:tc>
      </w:tr>
      <w:tr>
        <w:tc>
          <w:tcPr/>
          <w:p>
            <w:pPr>
              <w:pStyle w:val="Compact"/>
            </w:pPr>
            <w:r>
              <w:t xml:space="preserve">Régime d’accès épistémique</w:t>
            </w:r>
          </w:p>
        </w:tc>
        <w:tc>
          <w:tcPr/>
          <w:p>
            <w:pPr>
              <w:pStyle w:val="Compact"/>
            </w:pPr>
            <w:r>
              <w:t xml:space="preserve">Mesures de précision du boson (W), distributions cinématiques, fits électrofaibles</w:t>
            </w:r>
          </w:p>
        </w:tc>
      </w:tr>
      <w:tr>
        <w:tc>
          <w:tcPr/>
          <w:p>
            <w:pPr>
              <w:pStyle w:val="Compact"/>
            </w:pPr>
            <w:r>
              <w:t xml:space="preserve">Dépendance d’échelle</w:t>
            </w:r>
          </w:p>
        </w:tc>
        <w:tc>
          <w:tcPr/>
          <w:p>
            <w:pPr>
              <w:pStyle w:val="Compact"/>
            </w:pPr>
            <w:r>
              <w:t xml:space="preserve">Pas couplage courant ; rôle d’échelle de validité</w:t>
            </w:r>
          </w:p>
        </w:tc>
      </w:tr>
      <w:tr>
        <w:tc>
          <w:tcPr/>
          <w:p>
            <w:pPr>
              <w:pStyle w:val="Compact"/>
            </w:pPr>
            <w:r>
              <w:t xml:space="preserve">Stabilisation empirique</w:t>
            </w:r>
          </w:p>
        </w:tc>
        <w:tc>
          <w:tcPr/>
          <w:p>
            <w:pPr>
              <w:pStyle w:val="Compact"/>
            </w:pPr>
            <w:r>
              <w:t xml:space="preserve">Forte, mais surveillée par cohérence électrofaible globale</w:t>
            </w:r>
          </w:p>
        </w:tc>
      </w:tr>
      <w:tr>
        <w:tc>
          <w:tcPr/>
          <w:p>
            <w:pPr>
              <w:pStyle w:val="Compact"/>
            </w:pPr>
            <w:r>
              <w:t xml:space="preserve">Stabilisation conventionnelle</w:t>
            </w:r>
          </w:p>
        </w:tc>
        <w:tc>
          <w:tcPr/>
          <w:p>
            <w:pPr>
              <w:pStyle w:val="Compact"/>
            </w:pPr>
            <w:r>
              <w:t xml:space="preserve">Non concernée</w:t>
            </w:r>
          </w:p>
        </w:tc>
      </w:tr>
      <w:tr>
        <w:tc>
          <w:tcPr/>
          <w:p>
            <w:pPr>
              <w:pStyle w:val="Compact"/>
            </w:pPr>
            <w:r>
              <w:t xml:space="preserve">Architecture</w:t>
            </w:r>
          </w:p>
        </w:tc>
        <w:tc>
          <w:tcPr/>
          <w:p>
            <w:pPr>
              <w:pStyle w:val="Compact"/>
            </w:pPr>
            <w:r>
              <w:t xml:space="preserve">Électrofaible ; effective basse énergie</w:t>
            </w:r>
          </w:p>
        </w:tc>
      </w:tr>
      <w:tr>
        <w:tc>
          <w:tcPr/>
          <w:p>
            <w:pPr>
              <w:pStyle w:val="Compact"/>
            </w:pPr>
            <w:r>
              <w:t xml:space="preserve">Limite</w:t>
            </w:r>
          </w:p>
        </w:tc>
        <w:tc>
          <w:tcPr/>
          <w:p>
            <w:pPr>
              <w:pStyle w:val="Compact"/>
            </w:pPr>
            <w:r>
              <w:t xml:space="preserve">Ne remplace pas (G_F) ; ne décrit pas seul le raccordement effectif</w:t>
            </w:r>
          </w:p>
        </w:tc>
      </w:tr>
    </w:tbl>
    <w:bookmarkEnd w:id="33"/>
    <w:bookmarkStart w:id="34" w:name="ce-que-m_w-confirme"/>
    <w:p>
      <w:pPr>
        <w:pStyle w:val="Heading2"/>
      </w:pPr>
      <w:r>
        <w:t xml:space="preserve">14. Ce que (M_W) confirme</w:t>
      </w:r>
    </w:p>
    <w:p>
      <w:pPr>
        <w:pStyle w:val="FirstParagraph"/>
      </w:pPr>
      <w:r>
        <w:t xml:space="preserve">(M_W) confirme que l’architecture effective basse énergie ne peut pas être réduite à une seule famille.</w:t>
      </w:r>
    </w:p>
    <w:p>
      <w:pPr>
        <w:pStyle w:val="BodyText"/>
      </w:pPr>
      <w:r>
        <w:t xml:space="preserve">Avec (G_F), le pôle principal était :</w:t>
      </w:r>
    </w:p>
    <w:p>
      <w:pPr>
        <w:pStyle w:val="BodyText"/>
      </w:pPr>
      <w:r>
        <w:t xml:space="preserve">[</w:t>
      </w:r>
      <w:r>
        <w:t xml:space="preserve"> </w:t>
      </w:r>
      <w:r>
        <w:t xml:space="preserve"> </w:t>
      </w:r>
      <w:r>
        <w:t xml:space="preserve">]</w:t>
      </w:r>
    </w:p>
    <w:p>
      <w:pPr>
        <w:pStyle w:val="BodyText"/>
      </w:pPr>
      <w:r>
        <w:t xml:space="preserve">Avec (M_W), le pôle principal est :</w:t>
      </w:r>
    </w:p>
    <w:p>
      <w:pPr>
        <w:pStyle w:val="BodyText"/>
      </w:pPr>
      <w:r>
        <w:t xml:space="preserve">[</w:t>
      </w:r>
      <w:r>
        <w:t xml:space="preserve"> </w:t>
      </w:r>
      <w:r>
        <w:t xml:space="preserve"> </w:t>
      </w:r>
      <w:r>
        <w:t xml:space="preserve">]</w:t>
      </w:r>
    </w:p>
    <w:p>
      <w:pPr>
        <w:pStyle w:val="BodyText"/>
      </w:pPr>
      <w:r>
        <w:t xml:space="preserve">L’architecture tient précisément parce qu’elle articule les deux :</w:t>
      </w:r>
    </w:p>
    <w:p>
      <w:pPr>
        <w:pStyle w:val="BodyText"/>
      </w:pPr>
      <w:r>
        <w:t xml:space="preserve">[</w:t>
      </w:r>
      <w:r>
        <w:t xml:space="preserve"> </w:t>
      </w:r>
    </w:p>
    <w:p>
      <w:pPr>
        <w:pStyle w:val="Compact"/>
        <w:numPr>
          <w:ilvl w:val="0"/>
          <w:numId w:val="1001"/>
        </w:numPr>
      </w:pPr>
      <w:r>
        <w:t xml:space="preserve">]</w:t>
      </w:r>
    </w:p>
    <w:p>
      <w:pPr>
        <w:pStyle w:val="FirstParagraph"/>
      </w:pPr>
      <w:r>
        <w:t xml:space="preserve">Formule :</w:t>
      </w:r>
    </w:p>
    <w:p>
      <w:pPr>
        <w:pStyle w:val="BodyText"/>
      </w:pPr>
      <w:r>
        <w:t xml:space="preserve">[</w:t>
      </w:r>
      <w:r>
        <w:t xml:space="preserve"> </w:t>
      </w:r>
      <w:r>
        <w:t xml:space="preserve">G_F</w:t>
      </w:r>
      <w:r>
        <w:t xml:space="preserve"> </w:t>
      </w:r>
      <w:r>
        <w:t xml:space="preserve">=</w:t>
      </w:r>
      <w:r>
        <w:t xml:space="preserve"> </w:t>
      </w:r>
      <w:r>
        <w:t xml:space="preserve"> </w:t>
      </w:r>
      <w:r>
        <w:t xml:space="preserve">W</w:t>
      </w:r>
      <w:r>
        <w:t xml:space="preserve"> </w:t>
      </w:r>
      <w:r>
        <w:t xml:space="preserve">]</w:t>
      </w:r>
    </w:p>
    <w:p>
      <w:pPr>
        <w:pStyle w:val="BodyText"/>
      </w:pPr>
      <w:r>
        <w:t xml:space="preserve">[</w:t>
      </w:r>
      <w:r>
        <w:t xml:space="preserve"> </w:t>
      </w:r>
      <w:r>
        <w:t xml:space="preserve">M_W</w:t>
      </w:r>
      <w:r>
        <w:t xml:space="preserve"> </w:t>
      </w:r>
      <w:r>
        <w:t xml:space="preserve">=</w:t>
      </w:r>
      <w:r>
        <w:t xml:space="preserve"> </w:t>
      </w:r>
      <w:r>
        <w:t xml:space="preserve"> </w:t>
      </w:r>
      <w:r>
        <w:t xml:space="preserve">]</w:t>
      </w:r>
    </w:p>
    <w:bookmarkEnd w:id="34"/>
    <w:bookmarkStart w:id="35" w:name="ce-que-m_w-ne-confirme-pas-encore"/>
    <w:p>
      <w:pPr>
        <w:pStyle w:val="Heading2"/>
      </w:pPr>
      <w:r>
        <w:t xml:space="preserve">15. Ce que (M_W) ne confirme pas encore</w:t>
      </w:r>
    </w:p>
    <w:p>
      <w:pPr>
        <w:pStyle w:val="FirstParagraph"/>
      </w:pPr>
      <w:r>
        <w:t xml:space="preserve">(M_W) ne suffit pas à confirmer les autres pôles de l’architecture effective basse énergie.</w:t>
      </w:r>
    </w:p>
    <w:p>
      <w:pPr>
        <w:pStyle w:val="BodyText"/>
      </w:pPr>
      <w:r>
        <w:t xml:space="preserve">Il ne teste pas encore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Pour cela, il faut encore traiter :</w:t>
      </w:r>
    </w:p>
    <w:p>
      <w:pPr>
        <w:pStyle w:val="BodyText"/>
      </w:pPr>
      <w:r>
        <w:t xml:space="preserve">[</w:t>
      </w:r>
      <w:r>
        <w:t xml:space="preserve"> </w:t>
      </w:r>
      <w:r>
        <w:rPr>
          <w:i/>
          <w:iCs/>
        </w:rPr>
        <w:t xml:space="preserve">s(Q^2),</w:t>
      </w:r>
      <w:r>
        <w:t xml:space="preserve">{</w:t>
      </w:r>
      <w:r>
        <w:t xml:space="preserve">}</w:t>
      </w:r>
      <w:r>
        <w:t xml:space="preserve"> </w:t>
      </w:r>
      <w:r>
        <w:t xml:space="preserve">]</w:t>
      </w:r>
    </w:p>
    <w:p>
      <w:pPr>
        <w:pStyle w:val="BodyText"/>
      </w:pPr>
      <w:r>
        <w:t xml:space="preserve">puis :</w:t>
      </w:r>
    </w:p>
    <w:p>
      <w:pPr>
        <w:pStyle w:val="BodyText"/>
      </w:pPr>
      <w:r>
        <w:t xml:space="preserve">[</w:t>
      </w:r>
      <w:r>
        <w:t xml:space="preserve"> </w:t>
      </w:r>
      <w:r>
        <w:rPr>
          <w:i/>
          <w:iCs/>
        </w:rPr>
        <w:t xml:space="preserve">G(E),</w:t>
      </w:r>
      <w:r>
        <w:rPr>
          <w:i/>
          <w:iCs/>
        </w:rPr>
        <w:t xml:space="preserve">M</w:t>
      </w:r>
      <w:r>
        <w:t xml:space="preserve">{</w:t>
      </w:r>
      <w:r>
        <w:t xml:space="preserve">}</w:t>
      </w:r>
      <w:r>
        <w:t xml:space="preserve"> </w:t>
      </w:r>
      <w:r>
        <w:t xml:space="preserve">]</w:t>
      </w:r>
    </w:p>
    <w:bookmarkEnd w:id="35"/>
    <w:bookmarkStart w:id="36" w:name="décision-provisoire-après-m_w"/>
    <w:p>
      <w:pPr>
        <w:pStyle w:val="Heading2"/>
      </w:pPr>
      <w:r>
        <w:t xml:space="preserve">16. Décision provisoire après (M_W)</w:t>
      </w:r>
    </w:p>
    <w:p>
      <w:pPr>
        <w:pStyle w:val="FirstParagraph"/>
      </w:pPr>
      <w:r>
        <w:t xml:space="preserve">Après (G_F) et (M_W), l’architecture effective basse énergie est renforcée.</w:t>
      </w:r>
    </w:p>
    <w:p>
      <w:pPr>
        <w:pStyle w:val="BodyText"/>
      </w:pPr>
      <w:r>
        <w:t xml:space="preserve">Elle n’est plus seulement une hypothèse de regroupement. Elle commence à montrer une structure interne :</w:t>
      </w:r>
    </w:p>
    <w:p>
      <w:pPr>
        <w:pStyle w:val="BodyText"/>
      </w:pPr>
      <w:r>
        <w:t xml:space="preserve">[</w:t>
      </w:r>
      <w:r>
        <w:t xml:space="preserve"> </w:t>
      </w:r>
    </w:p>
    <w:p>
      <w:pPr>
        <w:pStyle w:val="Compact"/>
        <w:numPr>
          <w:ilvl w:val="0"/>
          <w:numId w:val="1002"/>
        </w:numPr>
      </w:pPr>
      <w:r>
        <w:t xml:space="preserve">]</w:t>
      </w:r>
    </w:p>
    <w:p>
      <w:pPr>
        <w:pStyle w:val="FirstParagraph"/>
      </w:pPr>
      <w:r>
        <w:t xml:space="preserve">Dans le cas faible :</w:t>
      </w:r>
    </w:p>
    <w:p>
      <w:pPr>
        <w:pStyle w:val="BodyText"/>
      </w:pPr>
      <w:r>
        <w:t xml:space="preserve">[</w:t>
      </w:r>
      <w:r>
        <w:t xml:space="preserve"> </w:t>
      </w:r>
      <w:r>
        <w:t xml:space="preserve">G_F</w:t>
      </w:r>
      <w:r>
        <w:t xml:space="preserve"> </w:t>
      </w:r>
      <w:r>
        <w:t xml:space="preserve">]</w:t>
      </w:r>
    </w:p>
    <w:p>
      <w:pPr>
        <w:pStyle w:val="BodyText"/>
      </w:pPr>
      <w:r>
        <w:t xml:space="preserve">est le coefficient de raccordement,</w:t>
      </w:r>
    </w:p>
    <w:p>
      <w:pPr>
        <w:pStyle w:val="BodyText"/>
      </w:pPr>
      <w:r>
        <w:t xml:space="preserve">[</w:t>
      </w:r>
      <w:r>
        <w:t xml:space="preserve"> </w:t>
      </w:r>
      <w:r>
        <w:t xml:space="preserve">M_W</w:t>
      </w:r>
      <w:r>
        <w:t xml:space="preserve"> </w:t>
      </w:r>
      <w:r>
        <w:t xml:space="preserve">]</w:t>
      </w:r>
    </w:p>
    <w:p>
      <w:pPr>
        <w:pStyle w:val="BodyText"/>
      </w:pPr>
      <w:r>
        <w:t xml:space="preserve">est l’échelle de validité,</w:t>
      </w:r>
    </w:p>
    <w:p>
      <w:pPr>
        <w:pStyle w:val="BodyText"/>
      </w:pPr>
      <w:r>
        <w:t xml:space="preserve">et :</w:t>
      </w:r>
    </w:p>
    <w:p>
      <w:pPr>
        <w:pStyle w:val="BodyText"/>
      </w:pPr>
      <w:r>
        <w:t xml:space="preserve">[</w:t>
      </w:r>
      <w:r>
        <w:t xml:space="preserve"> </w:t>
      </w:r>
      <w:r>
        <w:t xml:space="preserve">E</w:t>
      </w:r>
      <w:r>
        <w:t xml:space="preserve">M_W</w:t>
      </w:r>
      <w:r>
        <w:t xml:space="preserve"> </w:t>
      </w:r>
      <w:r>
        <w:t xml:space="preserve">]</w:t>
      </w:r>
    </w:p>
    <w:p>
      <w:pPr>
        <w:pStyle w:val="BodyText"/>
      </w:pPr>
      <w:r>
        <w:t xml:space="preserve">définit le régime où la description locale de Fermi est opératoire.</w:t>
      </w:r>
    </w:p>
    <w:p>
      <w:pPr>
        <w:pStyle w:val="BodyText"/>
      </w:pPr>
      <w:r>
        <w:t xml:space="preserve">La formulation provisoire devient :</w:t>
      </w:r>
    </w:p>
    <w:p>
      <w:pPr>
        <w:pStyle w:val="BodyText"/>
      </w:pPr>
      <w:r>
        <w:rPr>
          <w:b/>
          <w:bCs/>
        </w:rPr>
        <w:t xml:space="preserve">Une architecture effective basse énergie stabilise à la fois un coefficient de remplacement et l’échelle à partir de laquelle ce remplacement cesse d’être suffisant.</w:t>
      </w:r>
    </w:p>
    <w:bookmarkEnd w:id="36"/>
    <w:bookmarkStart w:id="37" w:name="prochaine-fiche-du-cycle"/>
    <w:p>
      <w:pPr>
        <w:pStyle w:val="Heading2"/>
      </w:pPr>
      <w:r>
        <w:t xml:space="preserve">17. Prochaine fiche du cycle</w:t>
      </w:r>
    </w:p>
    <w:p>
      <w:pPr>
        <w:pStyle w:val="FirstParagraph"/>
      </w:pPr>
      <w:r>
        <w:t xml:space="preserve">La prochaine fiche doit porter sur :</w:t>
      </w:r>
    </w:p>
    <w:p>
      <w:pPr>
        <w:pStyle w:val="BodyText"/>
      </w:pPr>
      <w:r>
        <w:t xml:space="preserve">[</w:t>
      </w:r>
      <w:r>
        <w:t xml:space="preserve"> </w:t>
      </w:r>
      <w:r>
        <w:rPr>
          <w:i/>
          <w:iCs/>
        </w:rPr>
        <w:t xml:space="preserve">s(Q^2),</w:t>
      </w:r>
      <w:r>
        <w:t xml:space="preserve">{</w:t>
      </w:r>
      <w:r>
        <w:t xml:space="preserve">}</w:t>
      </w:r>
      <w:r>
        <w:t xml:space="preserve"> </w:t>
      </w:r>
      <w:r>
        <w:t xml:space="preserve">]</w:t>
      </w:r>
    </w:p>
    <w:p>
      <w:pPr>
        <w:pStyle w:val="BodyText"/>
      </w:pPr>
      <w:r>
        <w:t xml:space="preserve">Ce cas sera plus difficile que (G_F/M_W), car il ne s’agit pas simplement d’intégrer un médiateur massif.</w:t>
      </w:r>
    </w:p>
    <w:p>
      <w:pPr>
        <w:pStyle w:val="BodyText"/>
      </w:pPr>
      <w:r>
        <w:t xml:space="preserve">Il faudra tester une autre forme d’effectivité :</w:t>
      </w:r>
    </w:p>
    <w:p>
      <w:pPr>
        <w:pStyle w:val="BodyText"/>
      </w:pPr>
      <w:r>
        <w:t xml:space="preserve">[</w:t>
      </w:r>
      <w:r>
        <w:t xml:space="preserve"> </w:t>
      </w:r>
    </w:p>
    <w:p>
      <w:pPr>
        <w:pStyle w:val="Compact"/>
        <w:numPr>
          <w:ilvl w:val="0"/>
          <w:numId w:val="1003"/>
        </w:numPr>
      </w:pPr>
      <w:r>
        <w:t xml:space="preserve">]</w:t>
      </w:r>
    </w:p>
    <w:p>
      <w:pPr>
        <w:pStyle w:val="FirstParagraph"/>
      </w:pPr>
      <w:r>
        <w:t xml:space="preserve">La question deviendra :</w:t>
      </w:r>
    </w:p>
    <w:p>
      <w:pPr>
        <w:pStyle w:val="BodyText"/>
      </w:pPr>
      <w:r>
        <w:t xml:space="preserve">[</w:t>
      </w:r>
      <w:r>
        <w:t xml:space="preserve"> </w:t>
      </w:r>
      <w:r>
        <w:t xml:space="preserve"> </w:t>
      </w:r>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2026-07-09T07:05:48Z</dcterms:created>
  <dcterms:modified xsi:type="dcterms:W3CDTF">2026-07-09T07:05:48Z</dcterms:modified>
</cp:coreProperties>
</file>

<file path=docProps/custom.xml><?xml version="1.0" encoding="utf-8"?>
<Properties xmlns="http://schemas.openxmlformats.org/officeDocument/2006/custom-properties" xmlns:vt="http://schemas.openxmlformats.org/officeDocument/2006/docPropsVTypes"/>
</file>