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iche-α-v0.1"/>
    <w:p>
      <w:pPr>
        <w:pStyle w:val="Heading1"/>
      </w:pPr>
      <w:r>
        <w:t xml:space="preserve">Fiche α v0.1</w:t>
      </w:r>
    </w:p>
    <w:bookmarkStart w:id="20" w:name="Xf4ce97a71f3b95e82e498f7896c0cce4f6d1cab"/>
    <w:p>
      <w:pPr>
        <w:pStyle w:val="Heading2"/>
      </w:pPr>
      <w:r>
        <w:t xml:space="preserve">Constante de structure fine et régime électromagnétique basse énergie</w:t>
      </w:r>
    </w:p>
    <w:bookmarkEnd w:id="20"/>
    <w:bookmarkStart w:id="21" w:name="identification"/>
    <w:p>
      <w:pPr>
        <w:pStyle w:val="Heading2"/>
      </w:pPr>
      <w:r>
        <w:t xml:space="preserve">1. Identification</w:t>
      </w:r>
    </w:p>
    <w:p>
      <w:pPr>
        <w:pStyle w:val="FirstParagraph"/>
      </w:pPr>
      <w:r>
        <w:t xml:space="preserve">La constante de structure fine, notée α, est un rapport sans dimension qui caractérise l’intensité de l’interaction électromagnétique entre particules chargées. Dans l’écriture usuelle du SI, elle s’exprime par :</w:t>
      </w:r>
    </w:p>
    <w:p>
      <w:pPr>
        <w:pStyle w:val="BodyText"/>
      </w:pPr>
      <w:r>
        <w:t xml:space="preserve">[</w:t>
      </w:r>
      <w:r>
        <w:t xml:space="preserve"> </w:t>
      </w:r>
      <w:r>
        <w:t xml:space="preserve">=</w:t>
      </w:r>
      <w:r>
        <w:t xml:space="preserve"> </w:t>
      </w:r>
      <w:r>
        <w:t xml:space="preserve"> </w:t>
      </w:r>
      <w:r>
        <w:t xml:space="preserve">]</w:t>
      </w:r>
    </w:p>
    <w:p>
      <w:pPr>
        <w:pStyle w:val="BodyText"/>
      </w:pPr>
      <w:r>
        <w:t xml:space="preserve">Sa valeur recommandée par CODATA 2022 est approximativement :</w:t>
      </w:r>
    </w:p>
    <w:p>
      <w:pPr>
        <w:pStyle w:val="BodyText"/>
      </w:pPr>
      <w:r>
        <w:t xml:space="preserve">[</w:t>
      </w:r>
      <w:r>
        <w:t xml:space="preserve"> </w:t>
      </w:r>
      <w:r>
        <w:t xml:space="preserve">297,352,5643</w:t>
      </w:r>
      <w:r>
        <w:t xml:space="preserve"> </w:t>
      </w:r>
      <w:r>
        <w:t xml:space="preserve">^{-3}</w:t>
      </w:r>
      <w:r>
        <w:t xml:space="preserve"> </w:t>
      </w:r>
      <w:r>
        <w:t xml:space="preserve">]</w:t>
      </w:r>
    </w:p>
    <w:p>
      <w:pPr>
        <w:pStyle w:val="BodyText"/>
      </w:pPr>
      <w:r>
        <w:t xml:space="preserve">ou, sous la forme inverse plus courante :</w:t>
      </w:r>
    </w:p>
    <w:p>
      <w:pPr>
        <w:pStyle w:val="BodyText"/>
      </w:pPr>
      <w:r>
        <w:t xml:space="preserve">[</w:t>
      </w:r>
      <w:r>
        <w:t xml:space="preserve"> </w:t>
      </w:r>
      <w:r>
        <w:t xml:space="preserve">^{-1}</w:t>
      </w:r>
      <w:r>
        <w:t xml:space="preserve"> </w:t>
      </w:r>
      <w:r>
        <w:t xml:space="preserve">035,999,177</w:t>
      </w:r>
      <w:r>
        <w:t xml:space="preserve"> </w:t>
      </w:r>
      <w:r>
        <w:t xml:space="preserve">]</w:t>
      </w:r>
    </w:p>
    <w:p>
      <w:pPr>
        <w:pStyle w:val="BodyText"/>
      </w:pPr>
      <w:r>
        <w:t xml:space="preserve">CODATA 2022 a été publié en 2024 et repose sur un ajustement cohérent des constantes physiques à partir des données disponibles jusqu’au 31 décembre 2022.</w:t>
      </w:r>
    </w:p>
    <w:p>
      <w:pPr>
        <w:pStyle w:val="BodyText"/>
      </w:pPr>
      <w:r>
        <w:t xml:space="preserve">α possède un statut méthodologique fort pour notre enquête parce qu’elle est sans dimension. Elle évite donc le problème classique des constantes dimensionnées, dont la valeur numérique dépend du système d’unités. Uzan rappelle que les tests robustes de variation portent prioritairement sur des constantes sans dimension, et qu’une variation de constantes signalerait une violation de l’invariance de position locale, avec des liens possibles au principe d’équivalence et à de nouveaux degrés de liberté couplés à la matière ordinaire.</w:t>
      </w:r>
    </w:p>
    <w:bookmarkEnd w:id="21"/>
    <w:bookmarkStart w:id="22" w:name="statut-physique"/>
    <w:p>
      <w:pPr>
        <w:pStyle w:val="Heading2"/>
      </w:pPr>
      <w:r>
        <w:t xml:space="preserve">2. Statut physique</w:t>
      </w:r>
    </w:p>
    <w:p>
      <w:pPr>
        <w:pStyle w:val="FirstParagraph"/>
      </w:pPr>
      <w:r>
        <w:t xml:space="preserve">α joue plusieurs rôles selon le régime considéré.</w:t>
      </w:r>
    </w:p>
    <w:p>
      <w:pPr>
        <w:pStyle w:val="BodyText"/>
      </w:pPr>
      <w:r>
        <w:t xml:space="preserve">Dans le régime atomique et spectroscopique, α contrôle la structure fine des niveaux d’énergie. Historiquement, elle intervient dans l’analyse relativiste de Sommerfeld des raies spectrales de l’hydrogène. Dans le régime de l’électrodynamique quantique, elle mesure l’intensité du couplage électromagnétique entre particules chargées et champ photonique. Dans le cadre plus large du Modèle standard, le régime électromagnétique basse énergie résulte du secteur électrofaible brisé : le photon reste sans masse, tandis que les bosons W et Z acquièrent une masse ; l’électromagnétisme apparaît alors comme la symétrie résiduelle pertinente du régime basse énergie.</w:t>
      </w:r>
    </w:p>
    <w:p>
      <w:pPr>
        <w:pStyle w:val="BodyText"/>
      </w:pPr>
      <w:r>
        <w:t xml:space="preserve">Pour notre enquête, α doit donc être traitée comme une constante de régime électromagnétique stabilisé. Sa valeur basse énergie est extraordinairement précise et opératoire, mais elle prend sens dans un cadre où existent des particules chargées, un photon sans masse, des états atomiques et des procédures de mesure stabilisées.</w:t>
      </w:r>
    </w:p>
    <w:bookmarkEnd w:id="22"/>
    <w:bookmarkStart w:id="23" w:name="dépendance-déchelle"/>
    <w:p>
      <w:pPr>
        <w:pStyle w:val="Heading2"/>
      </w:pPr>
      <w:r>
        <w:t xml:space="preserve">3. Dépendance d’échelle</w:t>
      </w:r>
    </w:p>
    <w:p>
      <w:pPr>
        <w:pStyle w:val="FirstParagraph"/>
      </w:pPr>
      <w:r>
        <w:t xml:space="preserve">α possède un statut subtil : elle est constante dans un régime donné, mais le couplage électromagnétique effectif dépend de l’échelle d’énergie ou du transfert d’impulsion. En théorie quantique des champs, on parle de couplage</w:t>
      </w:r>
      <w:r>
        <w:t xml:space="preserve"> </w:t>
      </w:r>
      <w:r>
        <w:t xml:space="preserve">“courant”</w:t>
      </w:r>
      <w:r>
        <w:t xml:space="preserve"> </w:t>
      </w:r>
      <w:r>
        <w:t xml:space="preserve">: la valeur pertinente de α varie avec l’échelle du processus considéré.</w:t>
      </w:r>
    </w:p>
    <w:p>
      <w:pPr>
        <w:pStyle w:val="BodyText"/>
      </w:pPr>
      <w:r>
        <w:t xml:space="preserve">Des études du couplage électromagnétique effectif montrent que α(Q²) intervient dans les tests de précision du Modèle standard et que sa dépendance d’échelle est physiquement significative, notamment à cause des contributions de polarisation du vide, dont les contributions hadroniques deviennent une source importante d’incertitude. La mesure du couplage électromagnétique à grand transfert d’impulsion au LEP a validé la prédiction QED d’un couplage courant et a exclu l’hypothèse d’une valeur constante indépendante de l’échelle dans le domaine étudié.</w:t>
      </w:r>
    </w:p>
    <w:p>
      <w:pPr>
        <w:pStyle w:val="BodyText"/>
      </w:pPr>
      <w:r>
        <w:t xml:space="preserve">Ce point est central : la constance de α doit toujours être indexée à un régime. La fiche α doit donc distinguer au minimum :</w:t>
      </w:r>
    </w:p>
    <w:p>
      <w:pPr>
        <w:pStyle w:val="BodyText"/>
      </w:pPr>
      <w:r>
        <w:t xml:space="preserve">[</w:t>
      </w:r>
      <w:r>
        <w:t xml:space="preserve"> </w:t>
      </w:r>
      <w:r>
        <w:t xml:space="preserve">_0</w:t>
      </w:r>
      <w:r>
        <w:t xml:space="preserve"> </w:t>
      </w:r>
      <w:r>
        <w:t xml:space="preserve">]</w:t>
      </w:r>
    </w:p>
    <w:p>
      <w:pPr>
        <w:pStyle w:val="BodyText"/>
      </w:pPr>
      <w:r>
        <w:t xml:space="preserve">comme constante basse énergie, et</w:t>
      </w:r>
    </w:p>
    <w:p>
      <w:pPr>
        <w:pStyle w:val="BodyText"/>
      </w:pPr>
      <w:r>
        <w:t xml:space="preserve">[</w:t>
      </w:r>
      <w:r>
        <w:t xml:space="preserve"> </w:t>
      </w:r>
      <w:r>
        <w:t xml:space="preserve">(Q^2)</w:t>
      </w:r>
      <w:r>
        <w:t xml:space="preserve"> </w:t>
      </w:r>
      <w:r>
        <w:t xml:space="preserve">]</w:t>
      </w:r>
    </w:p>
    <w:p>
      <w:pPr>
        <w:pStyle w:val="BodyText"/>
      </w:pPr>
      <w:r>
        <w:t xml:space="preserve">comme couplage effectif dépendant de l’échelle.</w:t>
      </w:r>
    </w:p>
    <w:bookmarkEnd w:id="23"/>
    <w:bookmarkStart w:id="24" w:name="X958842277176f74cc4d51d48c7966ee2a076b0c"/>
    <w:p>
      <w:pPr>
        <w:pStyle w:val="Heading2"/>
      </w:pPr>
      <w:r>
        <w:t xml:space="preserve">4. Contraintes observationnelles sur la stabilité</w:t>
      </w:r>
    </w:p>
    <w:p>
      <w:pPr>
        <w:pStyle w:val="FirstParagraph"/>
      </w:pPr>
      <w:r>
        <w:t xml:space="preserve">La littérature récente teste principalement la variation temporelle ou spatiale de α. Les contraintes viennent de plusieurs domaines : horloges atomiques, spectres de quasars, fond diffus cosmologique, nucléosynthèse primordiale, et modèles cosmologiques avec champs scalaires couplés au secteur standard.</w:t>
      </w:r>
    </w:p>
    <w:p>
      <w:pPr>
        <w:pStyle w:val="BodyText"/>
      </w:pPr>
      <w:r>
        <w:t xml:space="preserve">Baryakhtar, Simon et Weiner étudient en 2024 des modèles où un champ scalaire ultraléger module la masse de l’électron et α aux temps cosmologiques précoces. Ils indiquent que les variations de α à la recombinaison sont contraintes au niveau du pour mille, tandis que celles de la masse de l’électron le sont au niveau du pourcent.</w:t>
      </w:r>
    </w:p>
    <w:p>
      <w:pPr>
        <w:pStyle w:val="BodyText"/>
      </w:pPr>
      <w:r>
        <w:t xml:space="preserve">Wei et al. utilisent en 2024 des quasars LAMOST à redshift (0 &lt; z &lt; 0{,}8) et obtiennent :</w:t>
      </w:r>
    </w:p>
    <w:p>
      <w:pPr>
        <w:pStyle w:val="BodyText"/>
      </w:pPr>
      <w:r>
        <w:t xml:space="preserve">[</w:t>
      </w:r>
      <w:r>
        <w:t xml:space="preserve"> </w:t>
      </w:r>
      <w:r>
        <w:t xml:space="preserve">/</w:t>
      </w:r>
      <w:r>
        <w:t xml:space="preserve">= (0{,}5</w:t>
      </w:r>
      <w:r>
        <w:t xml:space="preserve"> </w:t>
      </w:r>
      <w:r>
        <w:t xml:space="preserve">7)</w:t>
      </w:r>
      <w:r>
        <w:t xml:space="preserve"> </w:t>
      </w:r>
      <w:r>
        <w:t xml:space="preserve">^{-4}</w:t>
      </w:r>
      <w:r>
        <w:t xml:space="preserve"> </w:t>
      </w:r>
      <w:r>
        <w:t xml:space="preserve">]</w:t>
      </w:r>
    </w:p>
    <w:p>
      <w:pPr>
        <w:pStyle w:val="BodyText"/>
      </w:pPr>
      <w:r>
        <w:t xml:space="preserve">ce qui ne fournit pas d’indice significatif d’une variation de α sur l’intervalle cosmologique étudié.</w:t>
      </w:r>
    </w:p>
    <w:p>
      <w:pPr>
        <w:pStyle w:val="BodyText"/>
      </w:pPr>
      <w:r>
        <w:t xml:space="preserve">Martins propose en 2025 une cosmographie des constantes variables, en actualisant les mesures de α et en les étendant à d’autres couplages sans dimension. Le résultat général ne montre aucune évidence statistiquement significative de variation ; les contraintes sur le coefficient linéaire de la série cosmographique de α atteignent le niveau des parties par milliard grâce aux horloges atomiques, tandis que d’autres coefficients sont contraints au niveau des parties par million.</w:t>
      </w:r>
    </w:p>
    <w:p>
      <w:pPr>
        <w:pStyle w:val="BodyText"/>
      </w:pPr>
      <w:r>
        <w:t xml:space="preserve">Ces résultats donnent à α un statut empirique très fort : dans les régimes accessibles à l’observation, sa stabilité est fortement contrainte.</w:t>
      </w:r>
    </w:p>
    <w:bookmarkEnd w:id="24"/>
    <w:bookmarkStart w:id="25" w:name="X08de553b9aa0a801f4a846909bbfb90935528a5"/>
    <w:p>
      <w:pPr>
        <w:pStyle w:val="Heading2"/>
      </w:pPr>
      <w:r>
        <w:t xml:space="preserve">5. Lecture par la grille des constantes effectives stabilisées</w:t>
      </w:r>
    </w:p>
    <w:p>
      <w:pPr>
        <w:pStyle w:val="FirstParagraph"/>
      </w:pPr>
      <w:r>
        <w:t xml:space="preserve">La fiche α permet d’introduire une distinction essentielle : stabilité empirique et statut de régime.</w:t>
      </w:r>
    </w:p>
    <w:p>
      <w:pPr>
        <w:pStyle w:val="BodyText"/>
      </w:pPr>
      <w:r>
        <w:t xml:space="preserve">α est un excellent cas de stabilité empirique, car les mesures disponibles contraignent fortement ses variations possibles. Mais α est aussi un excellent cas de régime, car sa signification dépend du niveau de description : spectroscopie atomique, QED basse énergie, couplage courant en théorie quantique des champs, secteur électrofaible du Modèle standard, cosmologie observationnelle.</w:t>
      </w:r>
    </w:p>
    <w:p>
      <w:pPr>
        <w:pStyle w:val="BodyText"/>
      </w:pPr>
      <w:r>
        <w:t xml:space="preserve">Dans notre grille, α reçoit donc le statut suivant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α</w:t>
            </w:r>
          </w:p>
        </w:tc>
      </w:tr>
      <w:tr>
        <w:tc>
          <w:tcPr/>
          <w:p>
            <w:pPr>
              <w:pStyle w:val="Compact"/>
            </w:pPr>
            <w:r>
              <w:t xml:space="preserve">Type de grandeur</w:t>
            </w:r>
          </w:p>
        </w:tc>
        <w:tc>
          <w:tcPr/>
          <w:p>
            <w:pPr>
              <w:pStyle w:val="Compact"/>
            </w:pPr>
            <w:r>
              <w:t xml:space="preserve">Rapport sans dimension</w:t>
            </w:r>
          </w:p>
        </w:tc>
      </w:tr>
      <w:tr>
        <w:tc>
          <w:tcPr/>
          <w:p>
            <w:pPr>
              <w:pStyle w:val="Compact"/>
            </w:pPr>
            <w:r>
              <w:t xml:space="preserve">Domaine principal</w:t>
            </w:r>
          </w:p>
        </w:tc>
        <w:tc>
          <w:tcPr/>
          <w:p>
            <w:pPr>
              <w:pStyle w:val="Compact"/>
            </w:pPr>
            <w:r>
              <w:t xml:space="preserve">Interaction électromagnétique</w:t>
            </w:r>
          </w:p>
        </w:tc>
      </w:tr>
      <w:tr>
        <w:tc>
          <w:tcPr/>
          <w:p>
            <w:pPr>
              <w:pStyle w:val="Compact"/>
            </w:pPr>
            <w:r>
              <w:t xml:space="preserve">Statut basse énergie</w:t>
            </w:r>
          </w:p>
        </w:tc>
        <w:tc>
          <w:tcPr/>
          <w:p>
            <w:pPr>
              <w:pStyle w:val="Compact"/>
            </w:pPr>
            <w:r>
              <w:t xml:space="preserve">Constante très précisément mesurée</w:t>
            </w:r>
          </w:p>
        </w:tc>
      </w:tr>
      <w:tr>
        <w:tc>
          <w:tcPr/>
          <w:p>
            <w:pPr>
              <w:pStyle w:val="Compact"/>
            </w:pPr>
            <w:r>
              <w:t xml:space="preserve">Statut en théorie quantique des champs</w:t>
            </w:r>
          </w:p>
        </w:tc>
        <w:tc>
          <w:tcPr/>
          <w:p>
            <w:pPr>
              <w:pStyle w:val="Compact"/>
            </w:pPr>
            <w:r>
              <w:t xml:space="preserve">Couplage effectif dépendant de l’échelle</w:t>
            </w:r>
          </w:p>
        </w:tc>
      </w:tr>
      <w:tr>
        <w:tc>
          <w:tcPr/>
          <w:p>
            <w:pPr>
              <w:pStyle w:val="Compact"/>
            </w:pPr>
            <w:r>
              <w:t xml:space="preserve">Régime requis</w:t>
            </w:r>
          </w:p>
        </w:tc>
        <w:tc>
          <w:tcPr/>
          <w:p>
            <w:pPr>
              <w:pStyle w:val="Compact"/>
            </w:pPr>
            <w:r>
              <w:t xml:space="preserve">Régime électromagnétique basse énergie stabilisé</w:t>
            </w:r>
          </w:p>
        </w:tc>
      </w:tr>
      <w:tr>
        <w:tc>
          <w:tcPr/>
          <w:p>
            <w:pPr>
              <w:pStyle w:val="Compact"/>
            </w:pPr>
            <w:r>
              <w:t xml:space="preserve">Mesurabilité</w:t>
            </w:r>
          </w:p>
        </w:tc>
        <w:tc>
          <w:tcPr/>
          <w:p>
            <w:pPr>
              <w:pStyle w:val="Compact"/>
            </w:pPr>
            <w:r>
              <w:t xml:space="preserve">Spectroscopie, horloges atomiques, interférométrie atomique, g−2, astrophysique</w:t>
            </w:r>
          </w:p>
        </w:tc>
      </w:tr>
      <w:tr>
        <w:tc>
          <w:tcPr/>
          <w:p>
            <w:pPr>
              <w:pStyle w:val="Compact"/>
            </w:pPr>
            <w:r>
              <w:t xml:space="preserve">Question centrale</w:t>
            </w:r>
          </w:p>
        </w:tc>
        <w:tc>
          <w:tcPr/>
          <w:p>
            <w:pPr>
              <w:pStyle w:val="Compact"/>
            </w:pPr>
            <w:r>
              <w:t xml:space="preserve">Dans quel régime α possède-t-elle le statut de constante ?</w:t>
            </w:r>
          </w:p>
        </w:tc>
      </w:tr>
    </w:tbl>
    <w:bookmarkEnd w:id="25"/>
    <w:bookmarkStart w:id="26" w:name="formulation-provisoire"/>
    <w:p>
      <w:pPr>
        <w:pStyle w:val="Heading2"/>
      </w:pPr>
      <w:r>
        <w:t xml:space="preserve">6. Formulation provisoire</w:t>
      </w:r>
    </w:p>
    <w:p>
      <w:pPr>
        <w:pStyle w:val="FirstParagraph"/>
      </w:pPr>
      <w:r>
        <w:t xml:space="preserve">α peut être comprise comme une constante effective stabilisée du régime électromagnétique basse énergie. Sa valeur basse énergie est une grandeur sans dimension extrêmement bien mesurée et fortement contrainte observationnellement. Son statut complet exige toutefois de préciser le régime considéré : α comme constante spectroscopique, α comme couplage QED basse énergie, α(Q²) comme couplage courant, et α comme paramètre cosmologiquement testé dans les recherches de variation.</w:t>
      </w:r>
    </w:p>
    <w:p>
      <w:pPr>
        <w:pStyle w:val="BodyText"/>
      </w:pPr>
      <w:r>
        <w:t xml:space="preserve">La question pertinente devient donc :</w:t>
      </w:r>
    </w:p>
    <w:p>
      <w:pPr>
        <w:pStyle w:val="BodyText"/>
      </w:pPr>
      <w:r>
        <w:rPr>
          <w:b/>
          <w:bCs/>
        </w:rPr>
        <w:t xml:space="preserve">À quelles conditions le couplage électromagnétique peut-il être traité comme une constante stable, et comment cette stabilité se transforme-t-elle lorsque l’on change de régime d’énergie, de mesure ou d’époque cosmologique ?</w:t>
      </w:r>
    </w:p>
    <w:bookmarkEnd w:id="26"/>
    <w:bookmarkStart w:id="27" w:name="X26ce6ccc34ddb298f9b279c2893ef37e6145b39"/>
    <w:p>
      <w:pPr>
        <w:pStyle w:val="Heading2"/>
      </w:pPr>
      <w:r>
        <w:t xml:space="preserve">7. Fonction de cette fiche dans l’enquête générale</w:t>
      </w:r>
    </w:p>
    <w:p>
      <w:pPr>
        <w:pStyle w:val="FirstParagraph"/>
      </w:pPr>
      <w:r>
        <w:t xml:space="preserve">La fiche α sert de cas d’école. Elle montre qu’une constante peut être à la fois très stable empiriquement et dépendante d’un régime de description. Elle permet de poser le vocabulaire de base : constante sans dimension, stabilité observationnelle, couplage effectif, dépendance d’échelle, régime basse énergie.</w:t>
      </w:r>
    </w:p>
    <w:p>
      <w:pPr>
        <w:pStyle w:val="BodyText"/>
      </w:pPr>
      <w:r>
        <w:t xml:space="preserve">Elle prépare directement la fiche suivante, consacrée à la masse de l’électron (m_e), où la question du régime électrofaible brisé deviendra plus structurante.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2026-07-08T17:06:48Z</dcterms:created>
  <dcterms:modified xsi:type="dcterms:W3CDTF">2026-07-08T17:06:48Z</dcterms:modified>
</cp:coreProperties>
</file>

<file path=docProps/custom.xml><?xml version="1.0" encoding="utf-8"?>
<Properties xmlns="http://schemas.openxmlformats.org/officeDocument/2006/custom-properties" xmlns:vt="http://schemas.openxmlformats.org/officeDocument/2006/docPropsVTypes"/>
</file>