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fiche-g_f-v0.1"/>
    <w:p>
      <w:pPr>
        <w:pStyle w:val="Heading1"/>
      </w:pPr>
      <w:r>
        <w:t xml:space="preserve">Fiche (G_F) v0.1</w:t>
      </w:r>
    </w:p>
    <w:bookmarkStart w:id="20" w:name="X5df2f6f1af08010036383a4eebf487139edb72f"/>
    <w:p>
      <w:pPr>
        <w:pStyle w:val="Heading2"/>
      </w:pPr>
      <w:r>
        <w:t xml:space="preserve">Constante de Fermi, interaction faible effective et raccordement électrofaible</w:t>
      </w:r>
    </w:p>
    <w:bookmarkEnd w:id="20"/>
    <w:bookmarkStart w:id="21" w:name="identification"/>
    <w:p>
      <w:pPr>
        <w:pStyle w:val="Heading2"/>
      </w:pPr>
      <w:r>
        <w:t xml:space="preserve">1. Identification</w:t>
      </w:r>
    </w:p>
    <w:p>
      <w:pPr>
        <w:pStyle w:val="FirstParagraph"/>
      </w:pPr>
      <w:r>
        <w:t xml:space="preserve">La constante de Fermi, notée (G_F), caractérise l’intensité effective de l’interaction faible dans le régime basse énergie. Elle intervient historiquement dans la théorie de Fermi de la désintégration bêta et, plus largement, dans la description effective des interactions faibles lorsque les impulsions mises en jeu sont très inférieures à la masse du boson (W).</w:t>
      </w:r>
    </w:p>
    <w:p>
      <w:pPr>
        <w:pStyle w:val="BodyText"/>
      </w:pPr>
      <w:r>
        <w:t xml:space="preserve">Dans les unités naturelles, (G_F) possède la dimension inverse d’une énergie au carré :</w:t>
      </w:r>
    </w:p>
    <w:p>
      <w:pPr>
        <w:pStyle w:val="BodyText"/>
      </w:pPr>
      <w:r>
        <w:t xml:space="preserve">[</w:t>
      </w:r>
      <w:r>
        <w:t xml:space="preserve"> </w:t>
      </w:r>
      <w:r>
        <w:t xml:space="preserve">[G_F] = E^{-2}</w:t>
      </w:r>
      <w:r>
        <w:t xml:space="preserve"> </w:t>
      </w:r>
      <w:r>
        <w:t xml:space="preserve">]</w:t>
      </w:r>
    </w:p>
    <w:p>
      <w:pPr>
        <w:pStyle w:val="BodyText"/>
      </w:pPr>
      <w:r>
        <w:t xml:space="preserve">Sa valeur usuelle est :</w:t>
      </w:r>
    </w:p>
    <w:p>
      <w:pPr>
        <w:pStyle w:val="BodyText"/>
      </w:pPr>
      <w:r>
        <w:t xml:space="preserve">[</w:t>
      </w:r>
      <w:r>
        <w:t xml:space="preserve"> </w:t>
      </w:r>
      <w:r>
        <w:t xml:space="preserve">G_F</w:t>
      </w:r>
      <w:r>
        <w:t xml:space="preserve"> </w:t>
      </w:r>
      <w:r>
        <w:t xml:space="preserve">166,378,7</w:t>
      </w:r>
      <w:r>
        <w:t xml:space="preserve"> </w:t>
      </w:r>
      <w:r>
        <w:rPr>
          <w:vertAlign w:val="superscript"/>
        </w:rPr>
        <w:t xml:space="preserve">{-5} </w:t>
      </w:r>
      <w:r>
        <w:t xml:space="preserve">{-2}</w:t>
      </w:r>
      <w:r>
        <w:t xml:space="preserve"> </w:t>
      </w:r>
      <w:r>
        <w:t xml:space="preserve">]</w:t>
      </w:r>
    </w:p>
    <w:p>
      <w:pPr>
        <w:pStyle w:val="BodyText"/>
      </w:pPr>
      <w:r>
        <w:t xml:space="preserve">La détermination expérimentale la plus précise vient de la durée de vie du muon. Les résultats MuLan donnent une durée de vie du muon positif :</w:t>
      </w:r>
    </w:p>
    <w:p>
      <w:pPr>
        <w:pStyle w:val="BodyText"/>
      </w:pPr>
      <w:r>
        <w:t xml:space="preserve">[</w:t>
      </w:r>
      <w:r>
        <w:t xml:space="preserve"> </w:t>
      </w:r>
      <w:r>
        <w:t xml:space="preserve">_{</w:t>
      </w:r>
      <w:r>
        <w:t xml:space="preserve">^+}=2,196,980{,}3(2{,}2) </w:t>
      </w:r>
      <w:r>
        <w:t xml:space="preserve"> </w:t>
      </w:r>
      <w:r>
        <w:t xml:space="preserve">]</w:t>
      </w:r>
    </w:p>
    <w:p>
      <w:pPr>
        <w:pStyle w:val="BodyText"/>
      </w:pPr>
      <w:r>
        <w:t xml:space="preserve">et une valeur associée :</w:t>
      </w:r>
    </w:p>
    <w:p>
      <w:pPr>
        <w:pStyle w:val="BodyText"/>
      </w:pPr>
      <w:r>
        <w:t xml:space="preserve">[</w:t>
      </w:r>
      <w:r>
        <w:t xml:space="preserve"> </w:t>
      </w:r>
      <w:r>
        <w:t xml:space="preserve">G_F=1{,}166,378,8(7)</w:t>
      </w:r>
      <w:r>
        <w:rPr>
          <w:vertAlign w:val="superscript"/>
        </w:rPr>
        <w:t xml:space="preserve">{-5} </w:t>
      </w:r>
      <w:r>
        <w:t xml:space="preserve">{-2}</w:t>
      </w:r>
      <w:r>
        <w:t xml:space="preserve"> </w:t>
      </w:r>
      <w:r>
        <w:t xml:space="preserve">]</w:t>
      </w:r>
    </w:p>
    <w:p>
      <w:pPr>
        <w:pStyle w:val="BodyText"/>
      </w:pPr>
      <w:r>
        <w:t xml:space="preserve">avec une précision de l’ordre du ppm. Une mise à jour théorique très récente, publiée en prépublication en juillet 2026, donne :</w:t>
      </w:r>
    </w:p>
    <w:p>
      <w:pPr>
        <w:pStyle w:val="BodyText"/>
      </w:pPr>
      <w:r>
        <w:t xml:space="preserve">[</w:t>
      </w:r>
      <w:r>
        <w:t xml:space="preserve"> </w:t>
      </w:r>
      <w:r>
        <w:t xml:space="preserve">G_F=1{,}166,378,59(59)</w:t>
      </w:r>
      <w:r>
        <w:rPr>
          <w:vertAlign w:val="superscript"/>
        </w:rPr>
        <w:t xml:space="preserve">{-5} </w:t>
      </w:r>
      <w:r>
        <w:t xml:space="preserve">{-2}</w:t>
      </w:r>
      <w:r>
        <w:t xml:space="preserve"> </w:t>
      </w:r>
      <w:r>
        <w:t xml:space="preserve">]</w:t>
      </w:r>
    </w:p>
    <w:p>
      <w:pPr>
        <w:pStyle w:val="BodyText"/>
      </w:pPr>
      <w:r>
        <w:t xml:space="preserve">en intégrant des corrections QED et hadroniques affinées. Cette valeur récente doit être traitée comme un résultat spécialisé encore à intégrer dans les références de synthèse.</w:t>
      </w:r>
    </w:p>
    <w:bookmarkEnd w:id="21"/>
    <w:bookmarkStart w:id="22" w:name="statut-physique"/>
    <w:p>
      <w:pPr>
        <w:pStyle w:val="Heading2"/>
      </w:pPr>
      <w:r>
        <w:t xml:space="preserve">2. Statut physique</w:t>
      </w:r>
    </w:p>
    <w:p>
      <w:pPr>
        <w:pStyle w:val="FirstParagraph"/>
      </w:pPr>
      <w:r>
        <w:t xml:space="preserve">(G_F) n’est pas une constante fondamentale au même sens qu’un couplage de jauge du Modèle standard. Elle est une constante effective de basse énergie.</w:t>
      </w:r>
    </w:p>
    <w:p>
      <w:pPr>
        <w:pStyle w:val="BodyText"/>
      </w:pPr>
      <w:r>
        <w:t xml:space="preserve">À basse énergie, l’interaction faible chargée peut être décrite comme une interaction locale à quatre fermions. Cette description est valide lorsque l’énergie du processus est très inférieure à la masse du boson (W). Dans ce régime, l’échange du boson (W) peut être remplacé par un contact effectif entre courants fermioniques.</w:t>
      </w:r>
    </w:p>
    <w:p>
      <w:pPr>
        <w:pStyle w:val="BodyText"/>
      </w:pPr>
      <w:r>
        <w:t xml:space="preserve">Le Particle Data Group indique que, pour des moments petits devant (M_W), le terme d’interaction faible chargée donne lieu à une interaction effective à quatre fermions, avec la relation au niveau arbre :</w:t>
      </w:r>
    </w:p>
    <w:p>
      <w:pPr>
        <w:pStyle w:val="BodyText"/>
      </w:pPr>
      <w:r>
        <w:t xml:space="preserve">[</w:t>
      </w:r>
      <w:r>
        <w:t xml:space="preserve"> </w:t>
      </w:r>
      <w:r>
        <w:t xml:space="preserve">=</w:t>
      </w:r>
      <w:r>
        <w:t xml:space="preserve">=</w:t>
      </w:r>
      <w:r>
        <w:t xml:space="preserve"> </w:t>
      </w:r>
      <w:r>
        <w:t xml:space="preserve">]</w:t>
      </w:r>
    </w:p>
    <w:p>
      <w:pPr>
        <w:pStyle w:val="BodyText"/>
      </w:pPr>
      <w:r>
        <w:t xml:space="preserve">où (v) est la valeur moyenne du champ de Higgs dans le vide, (g) le couplage faible (SU(2)_L), et (M_W) la masse du boson (W).</w:t>
      </w:r>
    </w:p>
    <w:p>
      <w:pPr>
        <w:pStyle w:val="BodyText"/>
      </w:pPr>
      <w:r>
        <w:t xml:space="preserve">Cette relation montre immédiatement le statut de (G_F) : elle condense, dans le régime basse énergie, une structure électrofaible plus profonde.</w:t>
      </w:r>
    </w:p>
    <w:bookmarkEnd w:id="22"/>
    <w:bookmarkStart w:id="23" w:name="constante-dimensionnée-et-échelle-faible"/>
    <w:p>
      <w:pPr>
        <w:pStyle w:val="Heading2"/>
      </w:pPr>
      <w:r>
        <w:t xml:space="preserve">3. Constante dimensionnée et échelle faible</w:t>
      </w:r>
    </w:p>
    <w:p>
      <w:pPr>
        <w:pStyle w:val="FirstParagraph"/>
      </w:pPr>
      <w:r>
        <w:t xml:space="preserve">Comme (G_F) est dimensionnée, sa valeur numérique seule ne suffit pas à définir un contenu physique absolu. Le contenu physique apparaît dans des combinaisons sans dimension, par exemple :</w:t>
      </w:r>
    </w:p>
    <w:p>
      <w:pPr>
        <w:pStyle w:val="BodyText"/>
      </w:pPr>
      <w:r>
        <w:t xml:space="preserve">[</w:t>
      </w:r>
      <w:r>
        <w:t xml:space="preserve"> </w:t>
      </w:r>
      <w:r>
        <w:t xml:space="preserve">G_F E^2</w:t>
      </w:r>
      <w:r>
        <w:t xml:space="preserve"> </w:t>
      </w:r>
      <w:r>
        <w:t xml:space="preserve">]</w:t>
      </w:r>
    </w:p>
    <w:p>
      <w:pPr>
        <w:pStyle w:val="BodyText"/>
      </w:pPr>
      <w:r>
        <w:t xml:space="preserve">où (E) est l’énergie caractéristique du processus étudié.</w:t>
      </w:r>
    </w:p>
    <w:p>
      <w:pPr>
        <w:pStyle w:val="BodyText"/>
      </w:pPr>
      <w:r>
        <w:t xml:space="preserve">À basse énergie :</w:t>
      </w:r>
    </w:p>
    <w:p>
      <w:pPr>
        <w:pStyle w:val="BodyText"/>
      </w:pPr>
      <w:r>
        <w:t xml:space="preserve">[</w:t>
      </w:r>
      <w:r>
        <w:t xml:space="preserve"> </w:t>
      </w:r>
      <w:r>
        <w:t xml:space="preserve">G_F E^2</w:t>
      </w:r>
      <w:r>
        <w:t xml:space="preserve"> </w:t>
      </w:r>
      <w:r>
        <w:t xml:space="preserve"> </w:t>
      </w:r>
      <w:r>
        <w:t xml:space="preserve">]</w:t>
      </w:r>
    </w:p>
    <w:p>
      <w:pPr>
        <w:pStyle w:val="BodyText"/>
      </w:pPr>
      <w:r>
        <w:t xml:space="preserve">L’interaction faible peut alors être traitée comme une interaction effective locale. Lorsque l’énergie augmente vers l’échelle électrofaible, cette description cesse d’être suffisante : il faut réintroduire explicitement les bosons médiateurs (W) et (Z).</w:t>
      </w:r>
    </w:p>
    <w:p>
      <w:pPr>
        <w:pStyle w:val="BodyText"/>
      </w:pPr>
      <w:r>
        <w:t xml:space="preserve">La constante de Fermi est donc une constante de régime. Elle n’exprime pas une force fondamentale indépendante de tout contexte ; elle exprime la force apparente de l’interaction faible après réduction basse énergie d’une théorie électrofaible plus complète.</w:t>
      </w:r>
    </w:p>
    <w:bookmarkEnd w:id="23"/>
    <w:bookmarkStart w:id="24" w:name="X978a9a508f0c3fa0645b8cea42efc0c67fa7ac1"/>
    <w:p>
      <w:pPr>
        <w:pStyle w:val="Heading2"/>
      </w:pPr>
      <w:r>
        <w:t xml:space="preserve">4. Raccordement avec le régime électrofaible</w:t>
      </w:r>
    </w:p>
    <w:p>
      <w:pPr>
        <w:pStyle w:val="FirstParagraph"/>
      </w:pPr>
      <w:r>
        <w:t xml:space="preserve">La relation :</w:t>
      </w:r>
    </w:p>
    <w:p>
      <w:pPr>
        <w:pStyle w:val="BodyText"/>
      </w:pPr>
      <w:r>
        <w:t xml:space="preserve">[</w:t>
      </w:r>
      <w:r>
        <w:t xml:space="preserve"> </w:t>
      </w:r>
      <w:r>
        <w:t xml:space="preserve">=</w:t>
      </w:r>
      <w:r>
        <w:t xml:space="preserve"> </w:t>
      </w:r>
      <w:r>
        <w:t xml:space="preserve">]</w:t>
      </w:r>
    </w:p>
    <w:p>
      <w:pPr>
        <w:pStyle w:val="BodyText"/>
      </w:pPr>
      <w:r>
        <w:t xml:space="preserve">peut se comprendre comme le résultat d’un raccordement effectif. À basse énergie, le propagateur du boson (W) peut être approché par un terme proportionnel à (1/M_W^2). L’interaction médiée par (W) devient alors une interaction ponctuelle entre quatre fermions.</w:t>
      </w:r>
    </w:p>
    <w:p>
      <w:pPr>
        <w:pStyle w:val="BodyText"/>
      </w:pPr>
      <w:r>
        <w:t xml:space="preserve">Le même résultat peut être écrit avec (v) :</w:t>
      </w:r>
    </w:p>
    <w:p>
      <w:pPr>
        <w:pStyle w:val="BodyText"/>
      </w:pPr>
      <w:r>
        <w:t xml:space="preserve">[</w:t>
      </w:r>
      <w:r>
        <w:t xml:space="preserve"> </w:t>
      </w:r>
      <w:r>
        <w:t xml:space="preserve">G_F=</w:t>
      </w:r>
      <w:r>
        <w:t xml:space="preserve"> </w:t>
      </w:r>
      <w:r>
        <w:t xml:space="preserve">]</w:t>
      </w:r>
    </w:p>
    <w:p>
      <w:pPr>
        <w:pStyle w:val="BodyText"/>
      </w:pPr>
      <w:r>
        <w:t xml:space="preserve">ou :</w:t>
      </w:r>
    </w:p>
    <w:p>
      <w:pPr>
        <w:pStyle w:val="BodyText"/>
      </w:pPr>
      <w:r>
        <w:t xml:space="preserve">[</w:t>
      </w:r>
      <w:r>
        <w:t xml:space="preserve"> </w:t>
      </w:r>
      <w:r>
        <w:t xml:space="preserve">v=</w:t>
      </w:r>
      <w:r>
        <w:t xml:space="preserve">(</w:t>
      </w:r>
      <w:r>
        <w:t xml:space="preserve">G_F</w:t>
      </w:r>
      <w:r>
        <w:t xml:space="preserve">)^{-1/2}</w:t>
      </w:r>
      <w:r>
        <w:t xml:space="preserve"> </w:t>
      </w:r>
      <w:r>
        <w:t xml:space="preserve">]</w:t>
      </w:r>
    </w:p>
    <w:p>
      <w:pPr>
        <w:pStyle w:val="BodyText"/>
      </w:pPr>
      <w:r>
        <w:t xml:space="preserve">Cette relation donne :</w:t>
      </w:r>
    </w:p>
    <w:p>
      <w:pPr>
        <w:pStyle w:val="BodyText"/>
      </w:pPr>
      <w:r>
        <w:t xml:space="preserve">[</w:t>
      </w:r>
      <w:r>
        <w:t xml:space="preserve"> </w:t>
      </w:r>
      <w:r>
        <w:t xml:space="preserve">v</w:t>
      </w:r>
      <w:r>
        <w:t xml:space="preserve"> </w:t>
      </w:r>
      <w:r>
        <w:t xml:space="preserve"> </w:t>
      </w:r>
      <w:r>
        <w:t xml:space="preserve"> </w:t>
      </w:r>
      <w:r>
        <w:t xml:space="preserve">]</w:t>
      </w:r>
    </w:p>
    <w:p>
      <w:pPr>
        <w:pStyle w:val="BodyText"/>
      </w:pPr>
      <w:r>
        <w:t xml:space="preserve">Dans cette lecture, (G_F) est une porte d’entrée expérimentale vers l’échelle électrofaible. Elle est mesurée à basse énergie, mais elle encode une information sur une structure de plus haute énergie.</w:t>
      </w:r>
    </w:p>
    <w:bookmarkEnd w:id="24"/>
    <w:bookmarkStart w:id="25" w:name="régime-de-validité"/>
    <w:p>
      <w:pPr>
        <w:pStyle w:val="Heading2"/>
      </w:pPr>
      <w:r>
        <w:t xml:space="preserve">5. Régime de validité</w:t>
      </w:r>
    </w:p>
    <w:p>
      <w:pPr>
        <w:pStyle w:val="FirstParagraph"/>
      </w:pPr>
      <w:r>
        <w:t xml:space="preserve">La théorie de Fermi fonctionne remarquablement bien pour les processus faibles de basse énergie, comme la désintégration du muon ou certains processus nucléaires. Mais elle n’est pas une description complète à toutes les échelles.</w:t>
      </w:r>
    </w:p>
    <w:p>
      <w:pPr>
        <w:pStyle w:val="BodyText"/>
      </w:pPr>
      <w:r>
        <w:t xml:space="preserve">La raison est structurelle : (G_F) a une dimension (E^{-2}). Les amplitudes et sections efficaces associées à l’interaction de contact croissent avec l’énergie. À haute énergie, cette croissance signale la limite du modèle effectif. La description correcte exige alors le retour à la théorie électrofaible avec bosons médiateurs.</w:t>
      </w:r>
    </w:p>
    <w:p>
      <w:pPr>
        <w:pStyle w:val="BodyText"/>
      </w:pPr>
      <w:r>
        <w:t xml:space="preserve">Le régime de validité de (G_F) peut donc être formulé ainsi :</w:t>
      </w:r>
    </w:p>
    <w:p>
      <w:pPr>
        <w:pStyle w:val="BodyText"/>
      </w:pPr>
      <w:r>
        <w:t xml:space="preserve">[</w:t>
      </w:r>
      <w:r>
        <w:t xml:space="preserve"> </w:t>
      </w:r>
      <w:r>
        <w:t xml:space="preserve">E</w:t>
      </w:r>
      <w:r>
        <w:t xml:space="preserve"> </w:t>
      </w:r>
      <w:r>
        <w:t xml:space="preserve">M_W</w:t>
      </w:r>
      <w:r>
        <w:t xml:space="preserve"> </w:t>
      </w:r>
      <w:r>
        <w:t xml:space="preserve">]</w:t>
      </w:r>
    </w:p>
    <w:p>
      <w:pPr>
        <w:pStyle w:val="BodyText"/>
      </w:pPr>
      <w:r>
        <w:t xml:space="preserve">Dans ce domaine, (G_F) est une constante effective très utile. Hors de ce domaine, elle doit être remplacée par les paramètres et les degrés de liberté de la théorie électrofaible complète.</w:t>
      </w:r>
    </w:p>
    <w:bookmarkEnd w:id="25"/>
    <w:bookmarkStart w:id="26" w:name="mesure-par-la-durée-de-vie-du-muon"/>
    <w:p>
      <w:pPr>
        <w:pStyle w:val="Heading2"/>
      </w:pPr>
      <w:r>
        <w:t xml:space="preserve">6. Mesure par la durée de vie du muon</w:t>
      </w:r>
    </w:p>
    <w:p>
      <w:pPr>
        <w:pStyle w:val="FirstParagraph"/>
      </w:pPr>
      <w:r>
        <w:t xml:space="preserve">La désintégration du muon est le canal central pour déterminer (G_F). Dans une expression simplifiée, la largeur de désintégration du muon dépend de :</w:t>
      </w:r>
    </w:p>
    <w:p>
      <w:pPr>
        <w:pStyle w:val="BodyText"/>
      </w:pPr>
      <w:r>
        <w:t xml:space="preserve">[</w:t>
      </w:r>
      <w:r>
        <w:t xml:space="preserve"> </w:t>
      </w:r>
      <w:r>
        <w:rPr>
          <w:i/>
          <w:iCs/>
        </w:rPr>
        <w:t xml:space="preserve">G_F^2 m</w:t>
      </w:r>
      <w:r>
        <w:t xml:space="preserve">^5</w:t>
      </w:r>
      <w:r>
        <w:t xml:space="preserve"> </w:t>
      </w:r>
      <w:r>
        <w:t xml:space="preserve">]</w:t>
      </w:r>
    </w:p>
    <w:p>
      <w:pPr>
        <w:pStyle w:val="BodyText"/>
      </w:pPr>
      <w:r>
        <w:t xml:space="preserve">avec des corrections radiatives et des effets de masse finie. Les déterminations modernes tiennent compte de ces corrections de haute précision. La mise à jour de 2026 exprime par exemple la durée de vie du muon avec un facteur de correction (</w:t>
      </w:r>
      <w:r>
        <w:t xml:space="preserve">q) incluant des corrections QED jusqu’à l’ordre (</w:t>
      </w:r>
      <w:r>
        <w:t xml:space="preserve">^3) et des contributions hadroniques.</w:t>
      </w:r>
    </w:p>
    <w:p>
      <w:pPr>
        <w:pStyle w:val="BodyText"/>
      </w:pPr>
      <w:r>
        <w:t xml:space="preserve">Ce point est important pour le statut de (G_F). Sa valeur n’est pas une mesure directe d’une</w:t>
      </w:r>
      <w:r>
        <w:t xml:space="preserve"> </w:t>
      </w:r>
      <w:r>
        <w:t xml:space="preserve">“force faible”</w:t>
      </w:r>
      <w:r>
        <w:t xml:space="preserve"> </w:t>
      </w:r>
      <w:r>
        <w:t xml:space="preserve">isolée. Elle est extraite à travers une chaîne théorique précise : durée de vie du muon, corrections radiatives, masse du muon, hypothèses du Modèle standard et normalisation du régime effectif.</w:t>
      </w:r>
    </w:p>
    <w:p>
      <w:pPr>
        <w:pStyle w:val="BodyText"/>
      </w:pPr>
      <w:r>
        <w:t xml:space="preserve">(G_F) est donc une constante mesurée par raccordement : elle relie un observable basse énergie à une structure théorique plus complète.</w:t>
      </w:r>
    </w:p>
    <w:bookmarkEnd w:id="26"/>
    <w:bookmarkStart w:id="27" w:name="X08de553b9aa0a801f4a846909bbfb90935528a5"/>
    <w:p>
      <w:pPr>
        <w:pStyle w:val="Heading2"/>
      </w:pPr>
      <w:r>
        <w:t xml:space="preserve">7.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(G_F)</w:t>
            </w:r>
          </w:p>
        </w:tc>
      </w:tr>
      <w:tr>
        <w:tc>
          <w:tcPr/>
          <w:p>
            <w:pPr>
              <w:pStyle w:val="Compact"/>
            </w:pPr>
            <w:r>
              <w:t xml:space="preserve">Type de grandeur</w:t>
            </w:r>
          </w:p>
        </w:tc>
        <w:tc>
          <w:tcPr/>
          <w:p>
            <w:pPr>
              <w:pStyle w:val="Compact"/>
            </w:pPr>
            <w:r>
              <w:t xml:space="preserve">Constante dimensionnée</w:t>
            </w:r>
          </w:p>
        </w:tc>
      </w:tr>
      <w:tr>
        <w:tc>
          <w:tcPr/>
          <w:p>
            <w:pPr>
              <w:pStyle w:val="Compact"/>
            </w:pPr>
            <w:r>
              <w:t xml:space="preserve">Dimension naturelle</w:t>
            </w:r>
          </w:p>
        </w:tc>
        <w:tc>
          <w:tcPr/>
          <w:p>
            <w:pPr>
              <w:pStyle w:val="Compact"/>
            </w:pPr>
            <w:r>
              <w:t xml:space="preserve">(E^{-2})</w:t>
            </w:r>
          </w:p>
        </w:tc>
      </w:tr>
      <w:tr>
        <w:tc>
          <w:tcPr/>
          <w:p>
            <w:pPr>
              <w:pStyle w:val="Compact"/>
            </w:pPr>
            <w:r>
              <w:t xml:space="preserve">Valeur usuelle</w:t>
            </w:r>
          </w:p>
        </w:tc>
        <w:tc>
          <w:tcPr/>
          <w:p>
            <w:pPr>
              <w:pStyle w:val="Compact"/>
            </w:pPr>
            <w:r>
              <w:t xml:space="preserve">(</w:t>
            </w:r>
            <w:r>
              <w:t xml:space="preserve">166,378,7</w:t>
            </w:r>
            <w:r>
              <w:rPr>
                <w:vertAlign w:val="superscript"/>
              </w:rPr>
              <w:t xml:space="preserve">{-5} </w:t>
            </w:r>
            <w:r>
              <w:t xml:space="preserve">{-2})</w:t>
            </w:r>
          </w:p>
        </w:tc>
      </w:tr>
      <w:tr>
        <w:tc>
          <w:tcPr/>
          <w:p>
            <w:pPr>
              <w:pStyle w:val="Compact"/>
            </w:pPr>
            <w:r>
              <w:t xml:space="preserve">Domaine principal</w:t>
            </w:r>
          </w:p>
        </w:tc>
        <w:tc>
          <w:tcPr/>
          <w:p>
            <w:pPr>
              <w:pStyle w:val="Compact"/>
            </w:pPr>
            <w:r>
              <w:t xml:space="preserve">Interaction faible basse énergie</w:t>
            </w:r>
          </w:p>
        </w:tc>
      </w:tr>
      <w:tr>
        <w:tc>
          <w:tcPr/>
          <w:p>
            <w:pPr>
              <w:pStyle w:val="Compact"/>
            </w:pPr>
            <w:r>
              <w:t xml:space="preserve">Forme effective</w:t>
            </w:r>
          </w:p>
        </w:tc>
        <w:tc>
          <w:tcPr/>
          <w:p>
            <w:pPr>
              <w:pStyle w:val="Compact"/>
            </w:pPr>
            <w:r>
              <w:t xml:space="preserve">Interaction locale à quatre fermions</w:t>
            </w:r>
          </w:p>
        </w:tc>
      </w:tr>
      <w:tr>
        <w:tc>
          <w:tcPr/>
          <w:p>
            <w:pPr>
              <w:pStyle w:val="Compact"/>
            </w:pPr>
            <w:r>
              <w:t xml:space="preserve">Régime de validité</w:t>
            </w:r>
          </w:p>
        </w:tc>
        <w:tc>
          <w:tcPr/>
          <w:p>
            <w:pPr>
              <w:pStyle w:val="Compact"/>
            </w:pPr>
            <w:r>
              <w:t xml:space="preserve">(E</w:t>
            </w:r>
            <w:r>
              <w:t xml:space="preserve"> </w:t>
            </w:r>
            <w:r>
              <w:t xml:space="preserve">M_W)</w:t>
            </w:r>
          </w:p>
        </w:tc>
      </w:tr>
      <w:tr>
        <w:tc>
          <w:tcPr/>
          <w:p>
            <w:pPr>
              <w:pStyle w:val="Compact"/>
            </w:pPr>
            <w:r>
              <w:t xml:space="preserve">Relation électrofaible</w:t>
            </w:r>
          </w:p>
        </w:tc>
        <w:tc>
          <w:tcPr/>
          <w:p>
            <w:pPr>
              <w:pStyle w:val="Compact"/>
            </w:pPr>
            <w:r>
              <w:t xml:space="preserve">(G_F/</w:t>
            </w:r>
            <w:r>
              <w:t xml:space="preserve">=g</w:t>
            </w:r>
            <w:r>
              <w:rPr>
                <w:vertAlign w:val="superscript"/>
              </w:rPr>
              <w:t xml:space="preserve">2/(8M_W</w:t>
            </w:r>
            <w:r>
              <w:t xml:space="preserve">2)=1/(2v^2))</w:t>
            </w:r>
          </w:p>
        </w:tc>
      </w:tr>
      <w:tr>
        <w:tc>
          <w:tcPr/>
          <w:p>
            <w:pPr>
              <w:pStyle w:val="Compact"/>
            </w:pPr>
            <w:r>
              <w:t xml:space="preserve">Observable central</w:t>
            </w:r>
          </w:p>
        </w:tc>
        <w:tc>
          <w:tcPr/>
          <w:p>
            <w:pPr>
              <w:pStyle w:val="Compact"/>
            </w:pPr>
            <w:r>
              <w:t xml:space="preserve">Durée de vie du muon</w:t>
            </w:r>
          </w:p>
        </w:tc>
      </w:tr>
      <w:tr>
        <w:tc>
          <w:tcPr/>
          <w:p>
            <w:pPr>
              <w:pStyle w:val="Compact"/>
            </w:pPr>
            <w:r>
              <w:t xml:space="preserve">Statut physique</w:t>
            </w:r>
          </w:p>
        </w:tc>
        <w:tc>
          <w:tcPr/>
          <w:p>
            <w:pPr>
              <w:pStyle w:val="Compact"/>
            </w:pPr>
            <w:r>
              <w:t xml:space="preserve">Coefficient effectif de basse énergie</w:t>
            </w:r>
          </w:p>
        </w:tc>
      </w:tr>
      <w:tr>
        <w:tc>
          <w:tcPr/>
          <w:p>
            <w:pPr>
              <w:pStyle w:val="Compact"/>
            </w:pPr>
            <w:r>
              <w:t xml:space="preserve">Question centrale</w:t>
            </w:r>
          </w:p>
        </w:tc>
        <w:tc>
          <w:tcPr/>
          <w:p>
            <w:pPr>
              <w:pStyle w:val="Compact"/>
            </w:pPr>
            <w:r>
              <w:t xml:space="preserve">Comment une constante mesurée à basse énergie encode-t-elle une structure électrofaible plus profonde ?</w:t>
            </w:r>
          </w:p>
        </w:tc>
      </w:tr>
    </w:tbl>
    <w:bookmarkEnd w:id="27"/>
    <w:bookmarkStart w:id="28" w:name="catégorie-proposée"/>
    <w:p>
      <w:pPr>
        <w:pStyle w:val="Heading2"/>
      </w:pPr>
      <w:r>
        <w:t xml:space="preserve">8. Catégorie proposée</w:t>
      </w:r>
    </w:p>
    <w:p>
      <w:pPr>
        <w:pStyle w:val="FirstParagraph"/>
      </w:pPr>
      <w:r>
        <w:t xml:space="preserve">Le cas (G_F) introduit la catégorie de</w:t>
      </w:r>
      <w:r>
        <w:t xml:space="preserve"> </w:t>
      </w:r>
      <w:r>
        <w:rPr>
          <w:b/>
          <w:bCs/>
        </w:rPr>
        <w:t xml:space="preserve">constante de raccordement effectif</w:t>
      </w:r>
      <w:r>
        <w:t xml:space="preserve">.</w:t>
      </w:r>
    </w:p>
    <w:p>
      <w:pPr>
        <w:pStyle w:val="BodyText"/>
      </w:pPr>
      <w:r>
        <w:t xml:space="preserve">Une constante de raccordement effectif désigne une grandeur qui possède une valeur stable dans un régime basse énergie, mais dont le statut physique complet dépend d’une théorie plus profonde. Elle sert de pont entre deux descriptions : une description effective, valable dans un domaine limité, et une description plus complète où les degrés de liberté médiateurs sont explicitement présents.</w:t>
      </w:r>
    </w:p>
    <w:p>
      <w:pPr>
        <w:pStyle w:val="BodyText"/>
      </w:pPr>
      <w:r>
        <w:t xml:space="preserve">Dans le cas de (G_F), le régime effectif est l’interaction faible à quatre fermions. Le régime plus complet est la théorie électrofaible avec bosons (W) et (Z), couplage (g), angle faible et valeur moyenne du champ de Higgs.</w:t>
      </w:r>
    </w:p>
    <w:p>
      <w:pPr>
        <w:pStyle w:val="BodyText"/>
      </w:pPr>
      <w:r>
        <w:t xml:space="preserve">La constance de (G_F) est donc celle d’un coefficient effectif stabilisé dans un domaine de validité précis.</w:t>
      </w:r>
    </w:p>
    <w:bookmarkEnd w:id="28"/>
    <w:bookmarkStart w:id="29" w:name="formulation-provisoire"/>
    <w:p>
      <w:pPr>
        <w:pStyle w:val="Heading2"/>
      </w:pPr>
      <w:r>
        <w:t xml:space="preserve">9. Formulation provisoire</w:t>
      </w:r>
    </w:p>
    <w:p>
      <w:pPr>
        <w:pStyle w:val="FirstParagraph"/>
      </w:pPr>
      <w:r>
        <w:t xml:space="preserve">La constante de Fermi peut être comprise comme une constante effective stabilisée du régime faible basse énergie. Elle n’est pas simplement une constante fondamentale autonome ; elle est le coefficient d’une interaction effective à quatre fermions, obtenue lorsque les bosons faibles sont intégrés hors de la description explicite.</w:t>
      </w:r>
    </w:p>
    <w:p>
      <w:pPr>
        <w:pStyle w:val="BodyText"/>
      </w:pPr>
      <w:r>
        <w:t xml:space="preserve">La question pertinente devient donc :</w:t>
      </w:r>
    </w:p>
    <w:p>
      <w:pPr>
        <w:pStyle w:val="BodyText"/>
      </w:pPr>
      <w:r>
        <w:rPr>
          <w:b/>
          <w:bCs/>
        </w:rPr>
        <w:t xml:space="preserve">À quelles conditions (G_F) peut-elle être traitée comme une constante stable, alors que son statut complet dépend du raccordement entre l’interaction faible basse énergie et le régime électrofaible médié par les bosons (W) et (Z) ?</w:t>
      </w:r>
    </w:p>
    <w:bookmarkEnd w:id="29"/>
    <w:bookmarkStart w:id="30" w:name="fonction-dans-lenquête-générale"/>
    <w:p>
      <w:pPr>
        <w:pStyle w:val="Heading2"/>
      </w:pPr>
      <w:r>
        <w:t xml:space="preserve">10. Fonction dans l’enquête générale</w:t>
      </w:r>
    </w:p>
    <w:p>
      <w:pPr>
        <w:pStyle w:val="FirstParagraph"/>
      </w:pPr>
      <w:r>
        <w:t xml:space="preserve">Cette fiche enrichit la cartographie des régimes de constance en introduisant une grandeur qui agit comme trace basse énergie d’une structure plus profonde. (G_F) montre qu’une constante peut être parfaitement opératoire et très précisément déterminée sans être fondamentale au niveau théorique le plus explicite disponible.</w:t>
      </w:r>
    </w:p>
    <w:p>
      <w:pPr>
        <w:pStyle w:val="BodyText"/>
      </w:pPr>
      <w:r>
        <w:t xml:space="preserve">Elle permet de clarifier une forme importante de constance : la stabilité d’un coefficient effectif dans un domaine limité. Ce type de constante n’est pas secondaire au sens faible ; il est essentiel pour relier la physique mesurée à basse énergie aux structures théoriques qui deviennent visibles à plus haute énergie.</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2026-07-08T18:02:25Z</dcterms:created>
  <dcterms:modified xsi:type="dcterms:W3CDTF">2026-07-08T18:02:25Z</dcterms:modified>
</cp:coreProperties>
</file>

<file path=docProps/custom.xml><?xml version="1.0" encoding="utf-8"?>
<Properties xmlns="http://schemas.openxmlformats.org/officeDocument/2006/custom-properties" xmlns:vt="http://schemas.openxmlformats.org/officeDocument/2006/docPropsVTypes"/>
</file>