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fiche-v0.1"/>
    <w:p>
      <w:pPr>
        <w:pStyle w:val="Heading1"/>
      </w:pPr>
      <w:r>
        <w:t xml:space="preserve">Fiche (</w:t>
      </w:r>
      <w:r>
        <w:t xml:space="preserve">) v0.1</w:t>
      </w:r>
    </w:p>
    <w:bookmarkStart w:id="20" w:name="Xa590f4973f142b9e30c1c3554648f8a5c90ab41"/>
    <w:p>
      <w:pPr>
        <w:pStyle w:val="Heading2"/>
      </w:pPr>
      <w:r>
        <w:t xml:space="preserve">Constante cosmologique, énergie noire et fond dynamique de l’expansion</w:t>
      </w:r>
    </w:p>
    <w:bookmarkEnd w:id="20"/>
    <w:bookmarkStart w:id="21" w:name="identification"/>
    <w:p>
      <w:pPr>
        <w:pStyle w:val="Heading2"/>
      </w:pPr>
      <w:r>
        <w:t xml:space="preserve">1. Identification</w:t>
      </w:r>
    </w:p>
    <w:p>
      <w:pPr>
        <w:pStyle w:val="FirstParagraph"/>
      </w:pPr>
      <w:r>
        <w:t xml:space="preserve">La constante cosmologique, notée (</w:t>
      </w:r>
      <w:r>
        <w:t xml:space="preserve">), est un terme introduit dans les équations d’Einstein de la relativité générale :</w:t>
      </w:r>
    </w:p>
    <w:p>
      <w:pPr>
        <w:pStyle w:val="BodyText"/>
      </w:pPr>
      <w:r>
        <w:t xml:space="preserve">[</w:t>
      </w:r>
      <w:r>
        <w:t xml:space="preserve"> </w:t>
      </w:r>
      <w:r>
        <w:t xml:space="preserve">G_{</w:t>
      </w:r>
      <w:r>
        <w:t xml:space="preserve">}+</w:t>
      </w:r>
      <w:r>
        <w:t xml:space="preserve">g_{</w:t>
      </w:r>
      <w:r>
        <w:t xml:space="preserve">}</w:t>
      </w:r>
      <w:r>
        <w:t xml:space="preserve"> </w:t>
      </w:r>
      <w:r>
        <w:t xml:space="preserve">=</w:t>
      </w:r>
      <w:r>
        <w:t xml:space="preserve"> </w:t>
      </w:r>
      <w:r>
        <w:t xml:space="preserve">T_{</w:t>
      </w:r>
      <w:r>
        <w:t xml:space="preserve">}</w:t>
      </w:r>
      <w:r>
        <w:t xml:space="preserve"> </w:t>
      </w:r>
      <w:r>
        <w:t xml:space="preserve">]</w:t>
      </w:r>
    </w:p>
    <w:p>
      <w:pPr>
        <w:pStyle w:val="BodyText"/>
      </w:pPr>
      <w:r>
        <w:t xml:space="preserve">Elle possède la dimension d’une courbure :</w:t>
      </w:r>
    </w:p>
    <w:p>
      <w:pPr>
        <w:pStyle w:val="BodyText"/>
      </w:pPr>
      <w:r>
        <w:t xml:space="preserve">[</w:t>
      </w:r>
      <w:r>
        <w:t xml:space="preserve"> </w:t>
      </w:r>
      <w:r>
        <w:t xml:space="preserve">[</w:t>
      </w:r>
      <w:r>
        <w:t xml:space="preserve">] = L^{-2}</w:t>
      </w:r>
      <w:r>
        <w:t xml:space="preserve"> </w:t>
      </w:r>
      <w:r>
        <w:t xml:space="preserve">]</w:t>
      </w:r>
    </w:p>
    <w:p>
      <w:pPr>
        <w:pStyle w:val="BodyText"/>
      </w:pPr>
      <w:r>
        <w:t xml:space="preserve">Dans le modèle cosmologique standard (</w:t>
      </w:r>
      <w:r>
        <w:t xml:space="preserve">)CDM, (</w:t>
      </w:r>
      <w:r>
        <w:t xml:space="preserve">) est interprétée comme une contribution uniforme et constante à la dynamique cosmologique. Elle est associée à l’accélération de l’expansion de l’univers.</w:t>
      </w:r>
    </w:p>
    <w:p>
      <w:pPr>
        <w:pStyle w:val="BodyText"/>
      </w:pPr>
      <w:r>
        <w:t xml:space="preserve">Dans un univers homogène et isotrope décrit par la métrique FLRW, (</w:t>
      </w:r>
      <w:r>
        <w:t xml:space="preserve">) intervient dans l’équation de Friedmann sous la forme :</w:t>
      </w:r>
    </w:p>
    <w:p>
      <w:pPr>
        <w:pStyle w:val="BodyText"/>
      </w:pPr>
      <w:r>
        <w:t xml:space="preserve">[</w:t>
      </w:r>
      <w:r>
        <w:t xml:space="preserve"> </w:t>
      </w:r>
      <w:r>
        <w:t xml:space="preserve">H^2</w:t>
      </w:r>
      <w:r>
        <w:t xml:space="preserve"> </w:t>
      </w:r>
      <w:r>
        <w:t xml:space="preserve">=</w:t>
      </w:r>
      <w:r>
        <w:t xml:space="preserve"> </w:t>
      </w:r>
    </w:p>
    <w:p>
      <w:pPr>
        <w:pStyle w:val="Compact"/>
        <w:numPr>
          <w:ilvl w:val="0"/>
          <w:numId w:val="1001"/>
        </w:numPr>
      </w:pPr>
      <w:r>
        <w:t xml:space="preserve">]</w:t>
      </w:r>
    </w:p>
    <w:p>
      <w:pPr>
        <w:pStyle w:val="FirstParagraph"/>
      </w:pPr>
      <w:r>
        <w:t xml:space="preserve">La constante cosmologique peut aussi être reformulée comme une densité d’énergie effective :</w:t>
      </w:r>
    </w:p>
    <w:p>
      <w:pPr>
        <w:pStyle w:val="BodyText"/>
      </w:pPr>
      <w:r>
        <w:t xml:space="preserve">[</w:t>
      </w:r>
      <w:r>
        <w:t xml:space="preserve"> </w:t>
      </w:r>
      <w:r>
        <w:t xml:space="preserve">_</w:t>
      </w:r>
      <w:r>
        <w:t xml:space="preserve"> </w:t>
      </w:r>
      <w:r>
        <w:t xml:space="preserve">=</w:t>
      </w:r>
      <w:r>
        <w:t xml:space="preserve"> </w:t>
      </w:r>
      <w:r>
        <w:t xml:space="preserve"> </w:t>
      </w:r>
      <w:r>
        <w:t xml:space="preserve">]</w:t>
      </w:r>
    </w:p>
    <w:p>
      <w:pPr>
        <w:pStyle w:val="BodyText"/>
      </w:pPr>
      <w:r>
        <w:t xml:space="preserve">et une pression associée :</w:t>
      </w:r>
    </w:p>
    <w:p>
      <w:pPr>
        <w:pStyle w:val="BodyText"/>
      </w:pPr>
      <w:r>
        <w:t xml:space="preserve">[</w:t>
      </w:r>
      <w:r>
        <w:t xml:space="preserve"> </w:t>
      </w:r>
      <w:r>
        <w:t xml:space="preserve">p_</w:t>
      </w:r>
      <w:r>
        <w:t xml:space="preserve"> </w:t>
      </w:r>
      <w:r>
        <w:t xml:space="preserve">=</w:t>
      </w:r>
      <w:r>
        <w:t xml:space="preserve"> </w:t>
      </w:r>
      <w:r>
        <w:t xml:space="preserve">-</w:t>
      </w:r>
      <w:r>
        <w:t xml:space="preserve">_</w:t>
      </w:r>
      <w:r>
        <w:t xml:space="preserve">c^2</w:t>
      </w:r>
      <w:r>
        <w:t xml:space="preserve"> </w:t>
      </w:r>
      <w:r>
        <w:t xml:space="preserve">]</w:t>
      </w:r>
    </w:p>
    <w:p>
      <w:pPr>
        <w:pStyle w:val="BodyText"/>
      </w:pPr>
      <w:r>
        <w:t xml:space="preserve">Son équation d’état est alors :</w:t>
      </w:r>
    </w:p>
    <w:p>
      <w:pPr>
        <w:pStyle w:val="BodyText"/>
      </w:pPr>
      <w:r>
        <w:t xml:space="preserve">[</w:t>
      </w:r>
      <w:r>
        <w:t xml:space="preserve"> </w:t>
      </w:r>
      <w:r>
        <w:t xml:space="preserve">w =</w:t>
      </w:r>
      <w:r>
        <w:t xml:space="preserve"> </w:t>
      </w:r>
      <w:r>
        <w:t xml:space="preserve"> </w:t>
      </w:r>
      <w:r>
        <w:t xml:space="preserve">= -1</w:t>
      </w:r>
      <w:r>
        <w:t xml:space="preserve"> </w:t>
      </w:r>
      <w:r>
        <w:t xml:space="preserve">]</w:t>
      </w:r>
    </w:p>
    <w:p>
      <w:pPr>
        <w:pStyle w:val="BodyText"/>
      </w:pPr>
      <w:r>
        <w:t xml:space="preserve">Ce point est central : dans le modèle (</w:t>
      </w:r>
      <w:r>
        <w:t xml:space="preserve">)CDM, (</w:t>
      </w:r>
      <w:r>
        <w:t xml:space="preserve">) n’est pas seulement un terme géométrique. Elle peut être lue comme un fluide effectif à pression négative constante.</w:t>
      </w:r>
    </w:p>
    <w:bookmarkEnd w:id="21"/>
    <w:bookmarkStart w:id="23" w:name="valeur-observationnelle"/>
    <w:p>
      <w:pPr>
        <w:pStyle w:val="Heading2"/>
      </w:pPr>
      <w:r>
        <w:t xml:space="preserve">2. Valeur observationnelle</w:t>
      </w:r>
    </w:p>
    <w:p>
      <w:pPr>
        <w:pStyle w:val="FirstParagraph"/>
      </w:pPr>
      <w:r>
        <w:t xml:space="preserve">La valeur de (</w:t>
      </w:r>
      <w:r>
        <w:t xml:space="preserve">) n’est pas mesurée directement en laboratoire. Elle est inférée à partir de données cosmologiques : fond diffus cosmologique, supernovae de type Ia, oscillations acoustiques baryoniques, lentillage gravitationnel, croissance des structures, et histoire de l’expansion.</w:t>
      </w:r>
    </w:p>
    <w:p>
      <w:pPr>
        <w:pStyle w:val="BodyText"/>
      </w:pPr>
      <w:r>
        <w:t xml:space="preserve">Les résultats finaux de Planck 2018, dans le cadre du modèle (</w:t>
      </w:r>
      <w:r>
        <w:t xml:space="preserve">)CDM plat à six paramètres, donnent notamment :</w:t>
      </w:r>
    </w:p>
    <w:p>
      <w:pPr>
        <w:pStyle w:val="BodyText"/>
      </w:pPr>
      <w:r>
        <w:t xml:space="preserve">[</w:t>
      </w:r>
      <w:r>
        <w:t xml:space="preserve"> </w:t>
      </w:r>
      <w:r>
        <w:t xml:space="preserve">H_0 = 67{,}4</w:t>
      </w:r>
      <w:r>
        <w:t xml:space="preserve"> </w:t>
      </w:r>
      <w:r>
        <w:t xml:space="preserve">5 </w:t>
      </w:r>
      <w:r>
        <w:t xml:space="preserve"> </w:t>
      </w:r>
      <w:r>
        <w:t xml:space="preserve">]</w:t>
      </w:r>
    </w:p>
    <w:p>
      <w:pPr>
        <w:pStyle w:val="BodyText"/>
      </w:pPr>
      <w:r>
        <w:t xml:space="preserve">et :</w:t>
      </w:r>
    </w:p>
    <w:p>
      <w:pPr>
        <w:pStyle w:val="BodyText"/>
      </w:pPr>
      <w:r>
        <w:t xml:space="preserve">[</w:t>
      </w:r>
      <w:r>
        <w:t xml:space="preserve"> </w:t>
      </w:r>
      <w:r>
        <w:t xml:space="preserve">_m = 0{,}315</w:t>
      </w:r>
      <w:r>
        <w:t xml:space="preserve"> </w:t>
      </w:r>
      <w:r>
        <w:t xml:space="preserve">007</w:t>
      </w:r>
      <w:r>
        <w:t xml:space="preserve"> </w:t>
      </w:r>
      <w:r>
        <w:t xml:space="preserve">]</w:t>
      </w:r>
    </w:p>
    <w:p>
      <w:pPr>
        <w:pStyle w:val="BodyText"/>
      </w:pPr>
      <w:r>
        <w:t xml:space="preserve">ce qui implique, dans un univers spatialement plat :</w:t>
      </w:r>
    </w:p>
    <w:p>
      <w:pPr>
        <w:pStyle w:val="BodyText"/>
      </w:pPr>
      <w:r>
        <w:t xml:space="preserve">[</w:t>
      </w:r>
      <w:r>
        <w:t xml:space="preserve"> </w:t>
      </w:r>
      <w:r>
        <w:t xml:space="preserve">_</w:t>
      </w:r>
      <w:r>
        <w:t xml:space="preserve">685</w:t>
      </w:r>
      <w:r>
        <w:t xml:space="preserve"> </w:t>
      </w:r>
      <w:r>
        <w:t xml:space="preserve">]</w:t>
      </w:r>
    </w:p>
    <w:p>
      <w:pPr>
        <w:pStyle w:val="BodyText"/>
      </w:pPr>
      <w:r>
        <w:t xml:space="preserve">Planck conclut aussi ne pas trouver d’évidence convaincante en faveur d’extensions au modèle (</w:t>
      </w:r>
      <w:r>
        <w:t xml:space="preserve">)CDM de base dans son analyse principale. (</w:t>
      </w:r>
      <w:hyperlink r:id="rId22">
        <w:r>
          <w:rPr>
            <w:rStyle w:val="Hyperlink"/>
          </w:rPr>
          <w:t xml:space="preserve">arxiv.org</w:t>
        </w:r>
      </w:hyperlink>
      <w:r>
        <w:t xml:space="preserve">)</w:t>
      </w:r>
    </w:p>
    <w:p>
      <w:pPr>
        <w:pStyle w:val="BodyText"/>
      </w:pPr>
      <w:r>
        <w:t xml:space="preserve">À partir de ces valeurs, on obtient un ordre de grandeur :</w:t>
      </w:r>
    </w:p>
    <w:p>
      <w:pPr>
        <w:pStyle w:val="BodyText"/>
      </w:pPr>
      <w:r>
        <w:t xml:space="preserve">[</w:t>
      </w:r>
      <w:r>
        <w:t xml:space="preserve"> </w:t>
      </w:r>
      <w:r>
        <w:t xml:space="preserve">10^{-52} </w:t>
      </w:r>
      <w:r>
        <w:t xml:space="preserve"> </w:t>
      </w:r>
      <w:r>
        <w:t xml:space="preserve">]</w:t>
      </w:r>
    </w:p>
    <w:p>
      <w:pPr>
        <w:pStyle w:val="BodyText"/>
      </w:pPr>
      <w:r>
        <w:t xml:space="preserve">et une densité d’énergie noire de l’ordre de :</w:t>
      </w:r>
    </w:p>
    <w:p>
      <w:pPr>
        <w:pStyle w:val="BodyText"/>
      </w:pPr>
      <w:r>
        <w:t xml:space="preserve">[</w:t>
      </w:r>
      <w:r>
        <w:t xml:space="preserve"> </w:t>
      </w:r>
      <w:r>
        <w:t xml:space="preserve">_</w:t>
      </w:r>
      <w:r>
        <w:t xml:space="preserve">c^2</w:t>
      </w:r>
      <w:r>
        <w:t xml:space="preserve"> </w:t>
      </w:r>
      <w:r>
        <w:t xml:space="preserve">5</w:t>
      </w:r>
      <w:r>
        <w:t xml:space="preserve"> </w:t>
      </w:r>
      <w:r>
        <w:t xml:space="preserve">^{-10} </w:t>
      </w:r>
      <w:r>
        <w:t xml:space="preserve"> </w:t>
      </w:r>
      <w:r>
        <w:t xml:space="preserve">]</w:t>
      </w:r>
    </w:p>
    <w:p>
      <w:pPr>
        <w:pStyle w:val="BodyText"/>
      </w:pPr>
      <w:r>
        <w:t xml:space="preserve">Ces valeurs sont minuscules à l’échelle des particules, mais dominantes dans la dynamique cosmologique récente parce que la densité de matière décroît avec l’expansion, tandis que la densité associée à (</w:t>
      </w:r>
      <w:r>
        <w:t xml:space="preserve">) reste constante dans le modèle standard.</w:t>
      </w:r>
    </w:p>
    <w:bookmarkEnd w:id="23"/>
    <w:bookmarkStart w:id="25" w:name="statut-physique"/>
    <w:p>
      <w:pPr>
        <w:pStyle w:val="Heading2"/>
      </w:pPr>
      <w:r>
        <w:t xml:space="preserve">3. Statut physique</w:t>
      </w:r>
    </w:p>
    <w:p>
      <w:pPr>
        <w:pStyle w:val="FirstParagraph"/>
      </w:pPr>
      <w:r>
        <w:t xml:space="preserve">(</w:t>
      </w:r>
      <w:r>
        <w:t xml:space="preserve">) possède un statut particulièrement délicat parce qu’elle peut être lue de plusieurs manières.</w:t>
      </w:r>
    </w:p>
    <w:p>
      <w:pPr>
        <w:pStyle w:val="BodyText"/>
      </w:pPr>
      <w:r>
        <w:t xml:space="preserve">Première lecture : (</w:t>
      </w:r>
      <w:r>
        <w:t xml:space="preserve">) comme terme géométrique. Elle appartient alors au membre gauche des équations d’Einstein et modifie la relation entre géométrie de l’espace-temps et contenu matériel.</w:t>
      </w:r>
    </w:p>
    <w:p>
      <w:pPr>
        <w:pStyle w:val="BodyText"/>
      </w:pPr>
      <w:r>
        <w:t xml:space="preserve">Deuxième lecture : (</w:t>
      </w:r>
      <w:r>
        <w:t xml:space="preserve">) comme fluide effectif. En la déplaçant au membre droit, elle se comporte comme une énergie uniforme du vide, avec pression négative et équation d’état (w=-1).</w:t>
      </w:r>
    </w:p>
    <w:p>
      <w:pPr>
        <w:pStyle w:val="BodyText"/>
      </w:pPr>
      <w:r>
        <w:t xml:space="preserve">Troisième lecture : (</w:t>
      </w:r>
      <w:r>
        <w:t xml:space="preserve">) comme paramètre cosmologique. Elle devient alors une composante du modèle (</w:t>
      </w:r>
      <w:r>
        <w:t xml:space="preserve">)CDM, ajustée aux observations via (</w:t>
      </w:r>
      <w:r>
        <w:t xml:space="preserve">_</w:t>
      </w:r>
      <w:r>
        <w:t xml:space="preserve">), (H_0), les distances cosmologiques et la croissance des structures.</w:t>
      </w:r>
    </w:p>
    <w:p>
      <w:pPr>
        <w:pStyle w:val="BodyText"/>
      </w:pPr>
      <w:r>
        <w:t xml:space="preserve">Quatrième lecture : (</w:t>
      </w:r>
      <w:r>
        <w:t xml:space="preserve">) comme problème de raccordement entre relativité générale et théorie quantique des champs. Les estimations naïves de l’énergie du vide en théorie quantique des champs conduisent à une valeur très supérieure à celle déduite de la cosmologie. Bousso décrit le problème de la constante cosmologique comme la question de savoir pourquoi l’énergie du vide observée est au moins 60 ordres de grandeur plus petite que certaines contributions connues du Modèle standard. (</w:t>
      </w:r>
      <w:hyperlink r:id="rId24">
        <w:r>
          <w:rPr>
            <w:rStyle w:val="Hyperlink"/>
          </w:rPr>
          <w:t xml:space="preserve">arxiv.org</w:t>
        </w:r>
      </w:hyperlink>
      <w:r>
        <w:t xml:space="preserve">)</w:t>
      </w:r>
    </w:p>
    <w:p>
      <w:pPr>
        <w:pStyle w:val="BodyText"/>
      </w:pPr>
      <w:r>
        <w:t xml:space="preserve">La fiche doit donc maintenir ces lectures séparées. Sinon (</w:t>
      </w:r>
      <w:r>
        <w:t xml:space="preserve">) devient un mot-valise : géométrie, énergie noire, vide quantique, accélération cosmique et problème de naturalité se superposent sans contrôle.</w:t>
      </w:r>
    </w:p>
    <w:bookmarkEnd w:id="25"/>
    <w:bookmarkStart w:id="28" w:name="énergie-noire-et-équation-détat"/>
    <w:p>
      <w:pPr>
        <w:pStyle w:val="Heading2"/>
      </w:pPr>
      <w:r>
        <w:t xml:space="preserve">4. (</w:t>
      </w:r>
      <w:r>
        <w:t xml:space="preserve">), énergie noire et équation d’état</w:t>
      </w:r>
    </w:p>
    <w:p>
      <w:pPr>
        <w:pStyle w:val="FirstParagraph"/>
      </w:pPr>
      <w:r>
        <w:t xml:space="preserve">Dans le modèle (</w:t>
      </w:r>
      <w:r>
        <w:t xml:space="preserve">)CDM, l’énergie noire est représentée par une constante cosmologique avec :</w:t>
      </w:r>
    </w:p>
    <w:p>
      <w:pPr>
        <w:pStyle w:val="BodyText"/>
      </w:pPr>
      <w:r>
        <w:t xml:space="preserve">[</w:t>
      </w:r>
      <w:r>
        <w:t xml:space="preserve"> </w:t>
      </w:r>
      <w:r>
        <w:t xml:space="preserve">w=-1</w:t>
      </w:r>
      <w:r>
        <w:t xml:space="preserve"> </w:t>
      </w:r>
      <w:r>
        <w:t xml:space="preserve">]</w:t>
      </w:r>
    </w:p>
    <w:p>
      <w:pPr>
        <w:pStyle w:val="BodyText"/>
      </w:pPr>
      <w:r>
        <w:t xml:space="preserve">Cela signifie que sa densité reste constante lorsque l’univers s’étend. La matière non relativiste, elle, se dilue comme :</w:t>
      </w:r>
    </w:p>
    <w:p>
      <w:pPr>
        <w:pStyle w:val="BodyText"/>
      </w:pPr>
      <w:r>
        <w:t xml:space="preserve">[</w:t>
      </w:r>
      <w:r>
        <w:t xml:space="preserve"> </w:t>
      </w:r>
      <w:r>
        <w:t xml:space="preserve">_m</w:t>
      </w:r>
      <w:r>
        <w:t xml:space="preserve"> </w:t>
      </w:r>
      <w:r>
        <w:t xml:space="preserve">a^{-3}</w:t>
      </w:r>
      <w:r>
        <w:t xml:space="preserve"> </w:t>
      </w:r>
      <w:r>
        <w:t xml:space="preserve">]</w:t>
      </w:r>
    </w:p>
    <w:p>
      <w:pPr>
        <w:pStyle w:val="BodyText"/>
      </w:pPr>
      <w:r>
        <w:t xml:space="preserve">et le rayonnement comme :</w:t>
      </w:r>
    </w:p>
    <w:p>
      <w:pPr>
        <w:pStyle w:val="BodyText"/>
      </w:pPr>
      <w:r>
        <w:t xml:space="preserve">[</w:t>
      </w:r>
      <w:r>
        <w:t xml:space="preserve"> </w:t>
      </w:r>
      <w:r>
        <w:t xml:space="preserve">_r</w:t>
      </w:r>
      <w:r>
        <w:t xml:space="preserve"> </w:t>
      </w:r>
      <w:r>
        <w:t xml:space="preserve">a^{-4}</w:t>
      </w:r>
      <w:r>
        <w:t xml:space="preserve"> </w:t>
      </w:r>
      <w:r>
        <w:t xml:space="preserve">]</w:t>
      </w:r>
    </w:p>
    <w:p>
      <w:pPr>
        <w:pStyle w:val="BodyText"/>
      </w:pPr>
      <w:r>
        <w:t xml:space="preserve">Cette différence explique pourquoi (</w:t>
      </w:r>
      <w:r>
        <w:t xml:space="preserve">) devient dominante tardivement dans l’histoire cosmique, même si elle est extrêmement petite en densité absolue.</w:t>
      </w:r>
    </w:p>
    <w:p>
      <w:pPr>
        <w:pStyle w:val="BodyText"/>
      </w:pPr>
      <w:r>
        <w:t xml:space="preserve">Il faut donc distinguer deux questions.</w:t>
      </w:r>
    </w:p>
    <w:p>
      <w:pPr>
        <w:pStyle w:val="BodyText"/>
      </w:pPr>
      <w:r>
        <w:t xml:space="preserve">Première question :</w:t>
      </w:r>
    </w:p>
    <w:p>
      <w:pPr>
        <w:pStyle w:val="BodyText"/>
      </w:pPr>
      <w:r>
        <w:rPr>
          <w:b/>
          <w:bCs/>
        </w:rPr>
        <w:t xml:space="preserve">Y a-t-il une composante cosmologique responsable de l’accélération de l’expansion ?</w:t>
      </w:r>
    </w:p>
    <w:p>
      <w:pPr>
        <w:pStyle w:val="BodyText"/>
      </w:pPr>
      <w:r>
        <w:t xml:space="preserve">Les observations actuelles soutiennent fortement cette idée.</w:t>
      </w:r>
    </w:p>
    <w:p>
      <w:pPr>
        <w:pStyle w:val="BodyText"/>
      </w:pPr>
      <w:r>
        <w:t xml:space="preserve">Deuxième question :</w:t>
      </w:r>
    </w:p>
    <w:p>
      <w:pPr>
        <w:pStyle w:val="BodyText"/>
      </w:pPr>
      <w:r>
        <w:rPr>
          <w:b/>
          <w:bCs/>
        </w:rPr>
        <w:t xml:space="preserve">Cette composante est-elle exactement une constante cosmologique avec (w=-1), ou une énergie noire dynamique avec une équation d’état évolutive ?</w:t>
      </w:r>
    </w:p>
    <w:p>
      <w:pPr>
        <w:pStyle w:val="BodyText"/>
      </w:pPr>
      <w:r>
        <w:t xml:space="preserve">Cette seconde question reste active. Les résultats DESI 2024 montrent que les BAO de première année sont compatibles avec (</w:t>
      </w:r>
      <w:r>
        <w:t xml:space="preserve">)CDM, mais que certaines combinaisons avec CMB et supernovae préfèrent des modèles à équation d’état évolutive (w_0,w_a), avec des écarts à (</w:t>
      </w:r>
      <w:r>
        <w:t xml:space="preserve">)CDM dépendant des jeux de données supernovae utilisés. (</w:t>
      </w:r>
      <w:hyperlink r:id="rId26">
        <w:r>
          <w:rPr>
            <w:rStyle w:val="Hyperlink"/>
          </w:rPr>
          <w:t xml:space="preserve">arxiv.org</w:t>
        </w:r>
      </w:hyperlink>
      <w:r>
        <w:t xml:space="preserve">)</w:t>
      </w:r>
    </w:p>
    <w:p>
      <w:pPr>
        <w:pStyle w:val="BodyText"/>
      </w:pPr>
      <w:r>
        <w:t xml:space="preserve">Les résultats DESI DR2 de 2025 renforcent cette prudence : les BAO DR2 sont bien décrits par un modèle (</w:t>
      </w:r>
      <w:r>
        <w:t xml:space="preserve">)CDM plat, mais les combinaisons DESI + CMB + supernovae favorisent une énergie noire dynamique par rapport à (</w:t>
      </w:r>
      <w:r>
        <w:t xml:space="preserve">)CDM avec une signification allant de (2{,}8</w:t>
      </w:r>
      <w:r>
        <w:t xml:space="preserve">) à (4{,}2</w:t>
      </w:r>
      <w:r>
        <w:t xml:space="preserve">) selon l’échantillon de supernovae utilisé. La collaboration DESI écrit que, sauf erreur systématique inconnue dans un ou plusieurs jeux de données, (</w:t>
      </w:r>
      <w:r>
        <w:t xml:space="preserve">)CDM est mis au défi par ces combinaisons et qu’une énergie noire dynamique constitue une solution possible. (</w:t>
      </w:r>
      <w:hyperlink r:id="rId27">
        <w:r>
          <w:rPr>
            <w:rStyle w:val="Hyperlink"/>
          </w:rPr>
          <w:t xml:space="preserve">arxiv.org</w:t>
        </w:r>
      </w:hyperlink>
      <w:r>
        <w:t xml:space="preserve">)</w:t>
      </w:r>
    </w:p>
    <w:p>
      <w:pPr>
        <w:pStyle w:val="BodyText"/>
      </w:pPr>
      <w:r>
        <w:t xml:space="preserve">Le statut empirique est donc nuancé : (</w:t>
      </w:r>
      <w:r>
        <w:t xml:space="preserve">)CDM reste un modèle de référence extrêmement performant, mais la question d’une énergie noire dynamique est redevenue très sérieuse.</w:t>
      </w:r>
    </w:p>
    <w:bookmarkEnd w:id="28"/>
    <w:bookmarkStart w:id="29" w:name="problème-de-la-constante-cosmologique"/>
    <w:p>
      <w:pPr>
        <w:pStyle w:val="Heading2"/>
      </w:pPr>
      <w:r>
        <w:t xml:space="preserve">5. Problème de la constante cosmologique</w:t>
      </w:r>
    </w:p>
    <w:p>
      <w:pPr>
        <w:pStyle w:val="FirstParagraph"/>
      </w:pPr>
      <w:r>
        <w:t xml:space="preserve">Le problème de la constante cosmologique ne consiste pas seulement à mesurer (</w:t>
      </w:r>
      <w:r>
        <w:t xml:space="preserve">). Il consiste à comprendre pourquoi sa valeur est si petite relativement aux échelles attendues de la physique des champs.</w:t>
      </w:r>
    </w:p>
    <w:p>
      <w:pPr>
        <w:pStyle w:val="BodyText"/>
      </w:pPr>
      <w:r>
        <w:t xml:space="preserve">En théorie quantique des champs, le vide n’est pas un simple néant. Il possède des contributions d’énergie liées aux champs, aux fluctuations et aux transitions de régime. En relativité générale, toute densité d’énergie gravite. On s’attendrait donc à ce que l’énergie du vide contribue à la constante cosmologique effective.</w:t>
      </w:r>
    </w:p>
    <w:p>
      <w:pPr>
        <w:pStyle w:val="BodyText"/>
      </w:pPr>
      <w:r>
        <w:t xml:space="preserve">Le problème est que les contributions théoriques attendues sont énormes par rapport à la valeur cosmologique observée. Selon la manière de poser le problème et l’échelle de coupure utilisée, l’écart est souvent présenté comme allant de plusieurs dizaines à environ 120 ordres de grandeur. Bousso insiste sur le fait que l’écart est déjà immense si l’on considère seulement certaines contributions connues du Modèle standard. (</w:t>
      </w:r>
      <w:hyperlink r:id="rId24">
        <w:r>
          <w:rPr>
            <w:rStyle w:val="Hyperlink"/>
          </w:rPr>
          <w:t xml:space="preserve">arxiv.org</w:t>
        </w:r>
      </w:hyperlink>
      <w:r>
        <w:t xml:space="preserve">)</w:t>
      </w:r>
    </w:p>
    <w:p>
      <w:pPr>
        <w:pStyle w:val="BodyText"/>
      </w:pPr>
      <w:r>
        <w:t xml:space="preserve">Cette difficulté rend (</w:t>
      </w:r>
      <w:r>
        <w:t xml:space="preserve">) exceptionnelle dans notre cartographie. Elle n’est pas seulement une constante observée. Elle est un point de tension entre cosmologie, gravitation et physique quantique des champs.</w:t>
      </w:r>
    </w:p>
    <w:bookmarkEnd w:id="29"/>
    <w:bookmarkStart w:id="30" w:name="constante-ou-paramètre-effectif"/>
    <w:p>
      <w:pPr>
        <w:pStyle w:val="Heading2"/>
      </w:pPr>
      <w:r>
        <w:t xml:space="preserve">6. Constante ou paramètre effectif ?</w:t>
      </w:r>
    </w:p>
    <w:p>
      <w:pPr>
        <w:pStyle w:val="FirstParagraph"/>
      </w:pPr>
      <w:r>
        <w:t xml:space="preserve">La question centrale pour cette fiche est :</w:t>
      </w:r>
    </w:p>
    <w:p>
      <w:pPr>
        <w:pStyle w:val="BodyText"/>
      </w:pPr>
      <w:r>
        <w:t xml:space="preserve">[</w:t>
      </w:r>
      <w:r>
        <w:t xml:space="preserve"> </w:t>
      </w:r>
      <w:r>
        <w:t xml:space="preserve"> </w:t>
      </w:r>
      <w:r>
        <w:t xml:space="preserve">]</w:t>
      </w:r>
    </w:p>
    <w:p>
      <w:pPr>
        <w:pStyle w:val="BodyText"/>
      </w:pPr>
      <w:r>
        <w:t xml:space="preserve">est-elle une constante fondamentale, un paramètre effectif, une propriété du vide, une approximation phénoménologique, ou la forme la plus simple d’un secteur sombre plus complexe ?</w:t>
      </w:r>
    </w:p>
    <w:p>
      <w:pPr>
        <w:pStyle w:val="BodyText"/>
      </w:pPr>
      <w:r>
        <w:t xml:space="preserve">Dans (</w:t>
      </w:r>
      <w:r>
        <w:t xml:space="preserve">)CDM, la réponse opératoire est claire : (</w:t>
      </w:r>
      <w:r>
        <w:t xml:space="preserve">) est prise comme constante, avec densité d’énergie constante et (w=-1). Cette hypothèse donne un modèle simple, robuste et très performant.</w:t>
      </w:r>
    </w:p>
    <w:p>
      <w:pPr>
        <w:pStyle w:val="BodyText"/>
      </w:pPr>
      <w:r>
        <w:t xml:space="preserve">Mais le statut physique reste ouvert. Plusieurs possibilités sont discutées dans la littérature :</w:t>
      </w:r>
    </w:p>
    <w:p>
      <w:pPr>
        <w:pStyle w:val="BodyText"/>
      </w:pPr>
      <w:r>
        <w:t xml:space="preserve">[</w:t>
      </w:r>
      <w:r>
        <w:t xml:space="preserve"> </w:t>
      </w:r>
      <w:r>
        <w:t xml:space="preserve">=</w:t>
      </w:r>
      <w:r>
        <w:t xml:space="preserve"> </w:t>
      </w:r>
      <w:r>
        <w:t xml:space="preserve"> </w:t>
      </w:r>
      <w:r>
        <w:t xml:space="preserve">]</w:t>
      </w:r>
    </w:p>
    <w:p>
      <w:pPr>
        <w:pStyle w:val="BodyText"/>
      </w:pPr>
      <w:r>
        <w:t xml:space="preserve">[</w:t>
      </w:r>
      <w:r>
        <w:t xml:space="preserve"> </w:t>
      </w:r>
      <w:r>
        <w:t xml:space="preserve">=</w:t>
      </w:r>
      <w:r>
        <w:t xml:space="preserve"> </w:t>
      </w:r>
      <w:r>
        <w:t xml:space="preserve"> </w:t>
      </w:r>
      <w:r>
        <w:t xml:space="preserve">]</w:t>
      </w:r>
    </w:p>
    <w:p>
      <w:pPr>
        <w:pStyle w:val="BodyText"/>
      </w:pPr>
      <w:r>
        <w:t xml:space="preserve">[</w:t>
      </w:r>
      <w:r>
        <w:t xml:space="preserve"> </w:t>
      </w:r>
      <w:r>
        <w:t xml:space="preserve">=</w:t>
      </w:r>
      <w:r>
        <w:t xml:space="preserve"> </w:t>
      </w:r>
      <w:r>
        <w:t xml:space="preserve"> </w:t>
      </w:r>
      <w:r>
        <w:t xml:space="preserve">]</w:t>
      </w:r>
    </w:p>
    <w:p>
      <w:pPr>
        <w:pStyle w:val="BodyText"/>
      </w:pPr>
      <w:r>
        <w:t xml:space="preserve">[</w:t>
      </w:r>
      <w:r>
        <w:t xml:space="preserve"> </w:t>
      </w:r>
      <w:r>
        <w:t xml:space="preserve">=</w:t>
      </w:r>
      <w:r>
        <w:t xml:space="preserve"> </w:t>
      </w:r>
      <w:r>
        <w:t xml:space="preserve"> </w:t>
      </w:r>
      <w:r>
        <w:t xml:space="preserve">]</w:t>
      </w:r>
    </w:p>
    <w:p>
      <w:pPr>
        <w:pStyle w:val="BodyText"/>
      </w:pPr>
      <w:r>
        <w:t xml:space="preserve">[</w:t>
      </w:r>
      <w:r>
        <w:t xml:space="preserve"> </w:t>
      </w:r>
      <w:r>
        <w:t xml:space="preserve">=</w:t>
      </w:r>
      <w:r>
        <w:t xml:space="preserve"> </w:t>
      </w:r>
      <w:r>
        <w:t xml:space="preserve"> </w:t>
      </w:r>
      <w:r>
        <w:t xml:space="preserve">]</w:t>
      </w:r>
    </w:p>
    <w:p>
      <w:pPr>
        <w:pStyle w:val="BodyText"/>
      </w:pPr>
      <w:r>
        <w:t xml:space="preserve">La prudence consiste à ne pas trancher prématurément. La fiche doit seulement classer les statuts possibles et identifier ce que chacun implique pour la notion de constance.</w:t>
      </w:r>
    </w:p>
    <w:bookmarkEnd w:id="30"/>
    <w:bookmarkStart w:id="31" w:name="régime-de-validité-cosmologique"/>
    <w:p>
      <w:pPr>
        <w:pStyle w:val="Heading2"/>
      </w:pPr>
      <w:r>
        <w:t xml:space="preserve">7. Régime de validité cosmologique</w:t>
      </w:r>
    </w:p>
    <w:p>
      <w:pPr>
        <w:pStyle w:val="FirstParagraph"/>
      </w:pPr>
      <w:r>
        <w:t xml:space="preserve">(</w:t>
      </w:r>
      <w:r>
        <w:t xml:space="preserve">) est une constante de très grand régime. Elle ne structure pas une interaction locale de laboratoire. Elle structure la dynamique globale de l’espace-temps cosmologique.</w:t>
      </w:r>
    </w:p>
    <w:p>
      <w:pPr>
        <w:pStyle w:val="BodyText"/>
      </w:pPr>
      <w:r>
        <w:t xml:space="preserve">Son domaine d’apparition empirique est l’histoire tardive de l’expansion. L’accélération cosmique devient observable lorsque la contribution effective de (</w:t>
      </w:r>
      <w:r>
        <w:t xml:space="preserve">) domine sur la matière dans l’équation de Friedmann. Cette domination est tardive, parce que la matière se dilue avec (a^{-3}), tandis que (</w:t>
      </w:r>
      <w:r>
        <w:t xml:space="preserve">_</w:t>
      </w:r>
      <w:r>
        <w:t xml:space="preserve">) reste constante dans le modèle (</w:t>
      </w:r>
      <w:r>
        <w:t xml:space="preserve">)CDM.</w:t>
      </w:r>
    </w:p>
    <w:p>
      <w:pPr>
        <w:pStyle w:val="BodyText"/>
      </w:pPr>
      <w:r>
        <w:t xml:space="preserve">Cela donne à (</w:t>
      </w:r>
      <w:r>
        <w:t xml:space="preserve">) un statut différent d’une constante de couplage locale. Elle agit comme une constante de fond cosmologique : un terme uniforme qui devient dynamiquement décisif à grande échelle et à temps tardif.</w:t>
      </w:r>
    </w:p>
    <w:bookmarkEnd w:id="31"/>
    <w:bookmarkStart w:id="32" w:name="X08de553b9aa0a801f4a846909bbfb90935528a5"/>
    <w:p>
      <w:pPr>
        <w:pStyle w:val="Heading2"/>
      </w:pPr>
      <w:r>
        <w:t xml:space="preserve">8. Lecture par la grille des constantes effectives stabilisées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w:t>
            </w:r>
            <w:r>
              <w:t xml:space="preserve">)</w:t>
            </w:r>
          </w:p>
        </w:tc>
      </w:tr>
      <w:tr>
        <w:tc>
          <w:tcPr/>
          <w:p>
            <w:pPr>
              <w:pStyle w:val="Compact"/>
            </w:pPr>
            <w:r>
              <w:t xml:space="preserve">Type de grandeur</w:t>
            </w:r>
          </w:p>
        </w:tc>
        <w:tc>
          <w:tcPr/>
          <w:p>
            <w:pPr>
              <w:pStyle w:val="Compact"/>
            </w:pPr>
            <w:r>
              <w:t xml:space="preserve">Terme cosmologique dimensionné</w:t>
            </w:r>
          </w:p>
        </w:tc>
      </w:tr>
      <w:tr>
        <w:tc>
          <w:tcPr/>
          <w:p>
            <w:pPr>
              <w:pStyle w:val="Compact"/>
            </w:pPr>
            <w:r>
              <w:t xml:space="preserve">Dimension</w:t>
            </w:r>
          </w:p>
        </w:tc>
        <w:tc>
          <w:tcPr/>
          <w:p>
            <w:pPr>
              <w:pStyle w:val="Compact"/>
            </w:pPr>
            <w:r>
              <w:t xml:space="preserve">(L^{-2})</w:t>
            </w:r>
          </w:p>
        </w:tc>
      </w:tr>
      <w:tr>
        <w:tc>
          <w:tcPr/>
          <w:p>
            <w:pPr>
              <w:pStyle w:val="Compact"/>
            </w:pPr>
            <w:r>
              <w:t xml:space="preserve">Valeur approximative</w:t>
            </w:r>
          </w:p>
        </w:tc>
        <w:tc>
          <w:tcPr/>
          <w:p>
            <w:pPr>
              <w:pStyle w:val="Compact"/>
            </w:pPr>
            <w:r>
              <w:t xml:space="preserve">(</w:t>
            </w:r>
            <w:r>
              <w:t xml:space="preserve">10^{-52} </w:t>
            </w:r>
            <w:r>
              <w:t xml:space="preserve">)</w:t>
            </w:r>
          </w:p>
        </w:tc>
      </w:tr>
      <w:tr>
        <w:tc>
          <w:tcPr/>
          <w:p>
            <w:pPr>
              <w:pStyle w:val="Compact"/>
            </w:pPr>
            <w:r>
              <w:t xml:space="preserve">Forme énergétique</w:t>
            </w:r>
          </w:p>
        </w:tc>
        <w:tc>
          <w:tcPr/>
          <w:p>
            <w:pPr>
              <w:pStyle w:val="Compact"/>
            </w:pPr>
            <w:r>
              <w:t xml:space="preserve">(</w:t>
            </w:r>
            <w:r>
              <w:t xml:space="preserve">_</w:t>
            </w:r>
            <w:r>
              <w:t xml:space="preserve">=</w:t>
            </w:r>
            <w:r>
              <w:t xml:space="preserve"> </w:t>
            </w:r>
            <w:r>
              <w:t xml:space="preserve">c^2/(8</w:t>
            </w:r>
            <w:r>
              <w:t xml:space="preserve">G))</w:t>
            </w:r>
          </w:p>
        </w:tc>
      </w:tr>
      <w:tr>
        <w:tc>
          <w:tcPr/>
          <w:p>
            <w:pPr>
              <w:pStyle w:val="Compact"/>
            </w:pPr>
            <w:r>
              <w:t xml:space="preserve">Équation d’état (</w:t>
            </w:r>
            <w:r>
              <w:t xml:space="preserve">)CDM</w:t>
            </w:r>
          </w:p>
        </w:tc>
        <w:tc>
          <w:tcPr/>
          <w:p>
            <w:pPr>
              <w:pStyle w:val="Compact"/>
            </w:pPr>
            <w:r>
              <w:t xml:space="preserve">(w=-1)</w:t>
            </w:r>
          </w:p>
        </w:tc>
      </w:tr>
      <w:tr>
        <w:tc>
          <w:tcPr/>
          <w:p>
            <w:pPr>
              <w:pStyle w:val="Compact"/>
            </w:pPr>
            <w:r>
              <w:t xml:space="preserve">Statut observationnel</w:t>
            </w:r>
          </w:p>
        </w:tc>
        <w:tc>
          <w:tcPr/>
          <w:p>
            <w:pPr>
              <w:pStyle w:val="Compact"/>
            </w:pPr>
            <w:r>
              <w:t xml:space="preserve">Inféré par cosmologie globale</w:t>
            </w:r>
          </w:p>
        </w:tc>
      </w:tr>
      <w:tr>
        <w:tc>
          <w:tcPr/>
          <w:p>
            <w:pPr>
              <w:pStyle w:val="Compact"/>
            </w:pPr>
            <w:r>
              <w:t xml:space="preserve">Domaine principal</w:t>
            </w:r>
          </w:p>
        </w:tc>
        <w:tc>
          <w:tcPr/>
          <w:p>
            <w:pPr>
              <w:pStyle w:val="Compact"/>
            </w:pPr>
            <w:r>
              <w:t xml:space="preserve">Expansion accélérée tardive</w:t>
            </w:r>
          </w:p>
        </w:tc>
      </w:tr>
      <w:tr>
        <w:tc>
          <w:tcPr/>
          <w:p>
            <w:pPr>
              <w:pStyle w:val="Compact"/>
            </w:pPr>
            <w:r>
              <w:t xml:space="preserve">Modèle de référence</w:t>
            </w:r>
          </w:p>
        </w:tc>
        <w:tc>
          <w:tcPr/>
          <w:p>
            <w:pPr>
              <w:pStyle w:val="Compact"/>
            </w:pPr>
            <w:r>
              <w:t xml:space="preserve">(</w:t>
            </w:r>
            <w:r>
              <w:t xml:space="preserve">)CDM</w:t>
            </w:r>
          </w:p>
        </w:tc>
      </w:tr>
      <w:tr>
        <w:tc>
          <w:tcPr/>
          <w:p>
            <w:pPr>
              <w:pStyle w:val="Compact"/>
            </w:pPr>
            <w:r>
              <w:t xml:space="preserve">Point de tension</w:t>
            </w:r>
          </w:p>
        </w:tc>
        <w:tc>
          <w:tcPr/>
          <w:p>
            <w:pPr>
              <w:pStyle w:val="Compact"/>
            </w:pPr>
            <w:r>
              <w:t xml:space="preserve">Valeur très petite par rapport aux attentes de l’énergie du vide</w:t>
            </w:r>
          </w:p>
        </w:tc>
      </w:tr>
      <w:tr>
        <w:tc>
          <w:tcPr/>
          <w:p>
            <w:pPr>
              <w:pStyle w:val="Compact"/>
            </w:pPr>
            <w:r>
              <w:t xml:space="preserve">Question active</w:t>
            </w:r>
          </w:p>
        </w:tc>
        <w:tc>
          <w:tcPr/>
          <w:p>
            <w:pPr>
              <w:pStyle w:val="Compact"/>
            </w:pPr>
            <w:r>
              <w:t xml:space="preserve">Constante stricte ou énergie noire dynamique ?</w:t>
            </w:r>
          </w:p>
        </w:tc>
      </w:tr>
      <w:tr>
        <w:tc>
          <w:tcPr/>
          <w:p>
            <w:pPr>
              <w:pStyle w:val="Compact"/>
            </w:pPr>
            <w:r>
              <w:t xml:space="preserve">Question centrale</w:t>
            </w:r>
          </w:p>
        </w:tc>
        <w:tc>
          <w:tcPr/>
          <w:p>
            <w:pPr>
              <w:pStyle w:val="Compact"/>
            </w:pPr>
            <w:r>
              <w:t xml:space="preserve">Comment une constante globale peut-elle être à la fois paramètre géométrique, densité effective et problème de raccordement théorique ?</w:t>
            </w:r>
          </w:p>
        </w:tc>
      </w:tr>
    </w:tbl>
    <w:bookmarkEnd w:id="32"/>
    <w:bookmarkStart w:id="33" w:name="catégorie-proposée"/>
    <w:p>
      <w:pPr>
        <w:pStyle w:val="Heading2"/>
      </w:pPr>
      <w:r>
        <w:t xml:space="preserve">9. Catégorie proposée</w:t>
      </w:r>
    </w:p>
    <w:p>
      <w:pPr>
        <w:pStyle w:val="FirstParagraph"/>
      </w:pPr>
      <w:r>
        <w:t xml:space="preserve">Le cas (</w:t>
      </w:r>
      <w:r>
        <w:t xml:space="preserve">) introduit la catégorie de</w:t>
      </w:r>
      <w:r>
        <w:t xml:space="preserve"> </w:t>
      </w:r>
      <w:r>
        <w:rPr>
          <w:b/>
          <w:bCs/>
        </w:rPr>
        <w:t xml:space="preserve">constante de fond cosmologique</w:t>
      </w:r>
      <w:r>
        <w:t xml:space="preserve">.</w:t>
      </w:r>
    </w:p>
    <w:p>
      <w:pPr>
        <w:pStyle w:val="BodyText"/>
      </w:pPr>
      <w:r>
        <w:t xml:space="preserve">Une constante de fond cosmologique désigne une grandeur qui ne fixe pas principalement une interaction locale, une masse ou un mélange de champs, mais une contribution uniforme à la dynamique globale de l’espace-temps. Sa constance se lit dans l’évolution cosmologique : elle correspond à une densité effective qui ne se dilue pas avec l’expansion et qui produit une pression négative.</w:t>
      </w:r>
    </w:p>
    <w:p>
      <w:pPr>
        <w:pStyle w:val="BodyText"/>
      </w:pPr>
      <w:r>
        <w:t xml:space="preserve">Cette catégorie doit rester distincte de la catégorie</w:t>
      </w:r>
      <w:r>
        <w:t xml:space="preserve"> </w:t>
      </w:r>
      <w:r>
        <w:t xml:space="preserve">“énergie noire dynamique”</w:t>
      </w:r>
      <w:r>
        <w:t xml:space="preserve">. Une énergie noire dynamique peut mimer (</w:t>
      </w:r>
      <w:r>
        <w:t xml:space="preserve">) dans certaines observations, mais elle ne possède pas nécessairement (w=-1), ni une densité strictement constante.</w:t>
      </w:r>
    </w:p>
    <w:p>
      <w:pPr>
        <w:pStyle w:val="BodyText"/>
      </w:pPr>
      <w:r>
        <w:t xml:space="preserve">La catégorie proposée vaut donc pour le cas strict :</w:t>
      </w:r>
    </w:p>
    <w:p>
      <w:pPr>
        <w:pStyle w:val="BodyText"/>
      </w:pPr>
      <w:r>
        <w:t xml:space="preserve">[</w:t>
      </w:r>
      <w:r>
        <w:t xml:space="preserve"> </w:t>
      </w:r>
      <w:r>
        <w:t xml:space="preserve">=</w:t>
      </w:r>
      <w:r>
        <w:t xml:space="preserve"> </w:t>
      </w:r>
      <w:r>
        <w:t xml:space="preserve"> </w:t>
      </w:r>
      <w:r>
        <w:t xml:space="preserve">]</w:t>
      </w:r>
    </w:p>
    <w:p>
      <w:pPr>
        <w:pStyle w:val="BodyText"/>
      </w:pPr>
      <w:r>
        <w:t xml:space="preserve">et non pour toute forme possible d’énergie noire.</w:t>
      </w:r>
    </w:p>
    <w:bookmarkEnd w:id="33"/>
    <w:bookmarkStart w:id="34" w:name="formulation-provisoire"/>
    <w:p>
      <w:pPr>
        <w:pStyle w:val="Heading2"/>
      </w:pPr>
      <w:r>
        <w:t xml:space="preserve">10. Formulation provisoire</w:t>
      </w:r>
    </w:p>
    <w:p>
      <w:pPr>
        <w:pStyle w:val="FirstParagraph"/>
      </w:pPr>
      <w:r>
        <w:t xml:space="preserve">La constante cosmologique peut être comprise comme une constante effective stabilisée de fond cosmologique. Elle agit comme un terme uniforme dans les équations gravitationnelles, équivalent dans le modèle (</w:t>
      </w:r>
      <w:r>
        <w:t xml:space="preserve">)CDM à une densité d’énergie constante avec pression négative et équation d’état (w=-1).</w:t>
      </w:r>
    </w:p>
    <w:p>
      <w:pPr>
        <w:pStyle w:val="BodyText"/>
      </w:pPr>
      <w:r>
        <w:t xml:space="preserve">Son statut est toutefois plus ouvert que son efficacité phénoménologique. (</w:t>
      </w:r>
      <w:r>
        <w:t xml:space="preserve">) est à la fois un paramètre géométrique, une densité effective, une composante du modèle cosmologique standard et un problème de raccordement avec la physique quantique du vide.</w:t>
      </w:r>
    </w:p>
    <w:p>
      <w:pPr>
        <w:pStyle w:val="BodyText"/>
      </w:pPr>
      <w:r>
        <w:t xml:space="preserve">La question pertinente devient donc :</w:t>
      </w:r>
    </w:p>
    <w:p>
      <w:pPr>
        <w:pStyle w:val="BodyText"/>
      </w:pPr>
      <w:r>
        <w:rPr>
          <w:b/>
          <w:bCs/>
        </w:rPr>
        <w:t xml:space="preserve">À quelles conditions (</w:t>
      </w:r>
      <w:r>
        <w:rPr>
          <w:b/>
          <w:bCs/>
        </w:rPr>
        <w:t xml:space="preserve">) peut-elle être traitée comme une constante stabilisée de fond cosmologique, alors que son interprétation physique oscille entre terme géométrique, énergie du vide, paramètre phénoménologique et limite possible d’un secteur sombre dynamique ?</w:t>
      </w:r>
    </w:p>
    <w:bookmarkEnd w:id="34"/>
    <w:bookmarkStart w:id="35" w:name="fonction-dans-lenquête-générale"/>
    <w:p>
      <w:pPr>
        <w:pStyle w:val="Heading2"/>
      </w:pPr>
      <w:r>
        <w:t xml:space="preserve">11. Fonction dans l’enquête générale</w:t>
      </w:r>
    </w:p>
    <w:p>
      <w:pPr>
        <w:pStyle w:val="FirstParagraph"/>
      </w:pPr>
      <w:r>
        <w:t xml:space="preserve">Cette fiche marque un seuil. Avec (</w:t>
      </w:r>
      <w:r>
        <w:t xml:space="preserve">), la cartographie des régimes de constance quitte les constantes principalement locales ou de couplage pour aborder une constante globale de la dynamique cosmologique.</w:t>
      </w:r>
    </w:p>
    <w:p>
      <w:pPr>
        <w:pStyle w:val="BodyText"/>
      </w:pPr>
      <w:r>
        <w:t xml:space="preserve">Le cas (</w:t>
      </w:r>
      <w:r>
        <w:t xml:space="preserve">) montre qu’une constante peut être stabilisée au niveau du modèle tout en restant physiquement problématique au niveau de son origine. Elle peut être très efficace comme paramètre cosmologique, très contrainte par les observations, et pourtant conceptuellement ouverte.</w:t>
      </w:r>
    </w:p>
    <w:p>
      <w:pPr>
        <w:pStyle w:val="BodyText"/>
      </w:pPr>
      <w:r>
        <w:t xml:space="preserve">La fiche doit donc être utilisée comme cas-limite : elle ne sert pas à conclure que l’énergie noire est constante ou dynamique. Elle sert à distinguer les niveaux de la question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Cette séparation est la condition minimale pour traiter (</w:t>
      </w:r>
      <w:r>
        <w:t xml:space="preserve">) sans confusion.</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rxiv.org/abs/1203.0307" TargetMode="External" /><Relationship Type="http://schemas.openxmlformats.org/officeDocument/2006/relationships/hyperlink" Id="rId22" Target="https://arxiv.org/abs/1807.06209" TargetMode="External" /><Relationship Type="http://schemas.openxmlformats.org/officeDocument/2006/relationships/hyperlink" Id="rId26" Target="https://arxiv.org/abs/2404.03002" TargetMode="External" /><Relationship Type="http://schemas.openxmlformats.org/officeDocument/2006/relationships/hyperlink" Id="rId27" Target="https://arxiv.org/abs/2503.14738" TargetMode="External" /></Relationships>
</file>

<file path=word/_rels/footnotes.xml.rels><?xml version="1.0" encoding="UTF-8"?><Relationships xmlns="http://schemas.openxmlformats.org/package/2006/relationships"><Relationship Type="http://schemas.openxmlformats.org/officeDocument/2006/relationships/hyperlink" Id="rId24" Target="https://arxiv.org/abs/1203.0307" TargetMode="External" /><Relationship Type="http://schemas.openxmlformats.org/officeDocument/2006/relationships/hyperlink" Id="rId22" Target="https://arxiv.org/abs/1807.06209" TargetMode="External" /><Relationship Type="http://schemas.openxmlformats.org/officeDocument/2006/relationships/hyperlink" Id="rId26" Target="https://arxiv.org/abs/2404.03002" TargetMode="External" /><Relationship Type="http://schemas.openxmlformats.org/officeDocument/2006/relationships/hyperlink" Id="rId27" Target="https://arxiv.org/abs/2503.1473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2026-07-08T18:21:02Z</dcterms:created>
  <dcterms:modified xsi:type="dcterms:W3CDTF">2026-07-08T18:21:02Z</dcterms:modified>
</cp:coreProperties>
</file>

<file path=docProps/custom.xml><?xml version="1.0" encoding="utf-8"?>
<Properties xmlns="http://schemas.openxmlformats.org/officeDocument/2006/custom-properties" xmlns:vt="http://schemas.openxmlformats.org/officeDocument/2006/docPropsVTypes"/>
</file>