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fiche-g-m-v0.2"/>
    <w:p>
      <w:pPr>
        <w:pStyle w:val="Heading1"/>
      </w:pPr>
      <w:r>
        <w:t xml:space="preserve">Fiche (</w:t>
      </w:r>
      <w:r>
        <w:rPr>
          <w:i/>
          <w:iCs/>
        </w:rPr>
        <w:t xml:space="preserve">G / M</w:t>
      </w:r>
      <w:r>
        <w:t xml:space="preserve">{</w:t>
      </w:r>
      <w:r>
        <w:t xml:space="preserve">}) v0.2</w:t>
      </w:r>
    </w:p>
    <w:bookmarkStart w:id="20" w:name="X90a0a4cceb222ec7b0e49be1b38a6ce7f43d968"/>
    <w:p>
      <w:pPr>
        <w:pStyle w:val="Heading2"/>
      </w:pPr>
      <w:r>
        <w:t xml:space="preserve">Couplage gravitationnel sans dimension, échelle de Planck et régime gravitationnel basse énergie</w:t>
      </w:r>
    </w:p>
    <w:bookmarkEnd w:id="20"/>
    <w:bookmarkStart w:id="21" w:name="identification"/>
    <w:p>
      <w:pPr>
        <w:pStyle w:val="Heading2"/>
      </w:pPr>
      <w:r>
        <w:t xml:space="preserve">1. Identification</w:t>
      </w:r>
    </w:p>
    <w:p>
      <w:pPr>
        <w:pStyle w:val="FirstParagraph"/>
      </w:pPr>
      <w:r>
        <w:t xml:space="preserve">La constante gravitationnelle de Newton (G) intervient dans la loi de la gravitation newtonienne et dans la relativité générale. Dans le système international, (G) est une grandeur dimensionnée. Sa valeur numérique dépend du système d’unités choisi. Pour cette raison, (G) ne constitue pas, prise isolément, le meilleur objet conceptuel pour une enquête sur les constantes physiques.</w:t>
      </w:r>
    </w:p>
    <w:p>
      <w:pPr>
        <w:pStyle w:val="BodyText"/>
      </w:pPr>
      <w:r>
        <w:t xml:space="preserve">Le contenu physique devient plus robuste lorsqu’on reformule la gravitation à travers des rapports sans dimension. Une grandeur utile est le couplage gravitationnel associé à une masse (m) :</w:t>
      </w:r>
    </w:p>
    <w:p>
      <w:pPr>
        <w:pStyle w:val="BodyText"/>
      </w:pPr>
      <w:r>
        <w:t xml:space="preserve">[</w:t>
      </w:r>
      <w:r>
        <w:t xml:space="preserve"> </w:t>
      </w:r>
      <w:r>
        <w:t xml:space="preserve">_G(m)=</w:t>
      </w:r>
      <w:r>
        <w:t xml:space="preserve"> </w:t>
      </w:r>
      <w:r>
        <w:t xml:space="preserve">]</w:t>
      </w:r>
    </w:p>
    <w:p>
      <w:pPr>
        <w:pStyle w:val="BodyText"/>
      </w:pPr>
      <w:r>
        <w:t xml:space="preserve">Pour le proton :</w:t>
      </w:r>
    </w:p>
    <w:p>
      <w:pPr>
        <w:pStyle w:val="BodyText"/>
      </w:pPr>
      <w:r>
        <w:t xml:space="preserve">[</w:t>
      </w:r>
      <w:r>
        <w:t xml:space="preserve"> </w:t>
      </w:r>
      <w:r>
        <w:t xml:space="preserve">_G^{(p)}=</w:t>
      </w:r>
      <w:r>
        <w:t xml:space="preserve"> </w:t>
      </w:r>
      <w:r>
        <w:t xml:space="preserve">5{,}9</w:t>
      </w:r>
      <w:r>
        <w:t xml:space="preserve"> </w:t>
      </w:r>
      <w:r>
        <w:t xml:space="preserve">^{-39}</w:t>
      </w:r>
      <w:r>
        <w:t xml:space="preserve"> </w:t>
      </w:r>
      <w:r>
        <w:t xml:space="preserve">]</w:t>
      </w:r>
    </w:p>
    <w:p>
      <w:pPr>
        <w:pStyle w:val="BodyText"/>
      </w:pPr>
      <w:r>
        <w:t xml:space="preserve">Pour l’électron :</w:t>
      </w:r>
    </w:p>
    <w:p>
      <w:pPr>
        <w:pStyle w:val="BodyText"/>
      </w:pPr>
      <w:r>
        <w:t xml:space="preserve">[</w:t>
      </w:r>
      <w:r>
        <w:t xml:space="preserve"> </w:t>
      </w:r>
      <w:r>
        <w:t xml:space="preserve">_G^{(e)}=</w:t>
      </w:r>
      <w:r>
        <w:t xml:space="preserve"> </w:t>
      </w:r>
      <w:r>
        <w:t xml:space="preserve">1{,}75</w:t>
      </w:r>
      <w:r>
        <w:t xml:space="preserve"> </w:t>
      </w:r>
      <w:r>
        <w:t xml:space="preserve">^{-45}</w:t>
      </w:r>
      <w:r>
        <w:t xml:space="preserve"> </w:t>
      </w:r>
      <w:r>
        <w:t xml:space="preserve">]</w:t>
      </w:r>
    </w:p>
    <w:p>
      <w:pPr>
        <w:pStyle w:val="BodyText"/>
      </w:pPr>
      <w:r>
        <w:t xml:space="preserve">Ces valeurs expriment l’extrême faiblesse de la gravitation entre particules élémentaires ordinaires. Elles montrent aussi que la force effective de la gravitation ne se lit pas seulement dans (G), mais dans le rapport entre une masse ou une énergie physique et une échelle gravitationnelle de référence.</w:t>
      </w:r>
    </w:p>
    <w:bookmarkEnd w:id="21"/>
    <w:bookmarkStart w:id="22" w:name="g-comme-constante-dimensionnée"/>
    <w:p>
      <w:pPr>
        <w:pStyle w:val="Heading2"/>
      </w:pPr>
      <w:r>
        <w:t xml:space="preserve">2. (G) comme constante dimensionnée</w:t>
      </w:r>
    </w:p>
    <w:p>
      <w:pPr>
        <w:pStyle w:val="FirstParagraph"/>
      </w:pPr>
      <w:r>
        <w:t xml:space="preserve">Le cas de (G) impose une prudence méthodologique forte. Une constante dimensionnée possède une valeur numérique dépendante des unités. Dire que (G) est</w:t>
      </w:r>
      <w:r>
        <w:t xml:space="preserve"> </w:t>
      </w:r>
      <w:r>
        <w:t xml:space="preserve">“petite”</w:t>
      </w:r>
      <w:r>
        <w:t xml:space="preserve"> </w:t>
      </w:r>
      <w:r>
        <w:t xml:space="preserve">ou</w:t>
      </w:r>
      <w:r>
        <w:t xml:space="preserve"> </w:t>
      </w:r>
      <w:r>
        <w:t xml:space="preserve">“grande”</w:t>
      </w:r>
      <w:r>
        <w:t xml:space="preserve"> </w:t>
      </w:r>
      <w:r>
        <w:t xml:space="preserve">n’a donc pas de sens absolu sans préciser avec quoi on la compare.</w:t>
      </w:r>
    </w:p>
    <w:p>
      <w:pPr>
        <w:pStyle w:val="BodyText"/>
      </w:pPr>
      <w:r>
        <w:t xml:space="preserve">En unités naturelles, où (</w:t>
      </w:r>
      <w:r>
        <w:t xml:space="preserve">= c = 1), la constante de Newton a la dimension inverse d’une énergie au carré :</w:t>
      </w:r>
    </w:p>
    <w:p>
      <w:pPr>
        <w:pStyle w:val="BodyText"/>
      </w:pPr>
      <w:r>
        <w:t xml:space="preserve">[</w:t>
      </w:r>
      <w:r>
        <w:t xml:space="preserve"> </w:t>
      </w:r>
      <w:r>
        <w:t xml:space="preserve">[G]</w:t>
      </w:r>
      <w:r>
        <w:t xml:space="preserve"> </w:t>
      </w:r>
      <w:r>
        <w:t xml:space="preserve">E^{-2}</w:t>
      </w:r>
      <w:r>
        <w:t xml:space="preserve"> </w:t>
      </w:r>
      <w:r>
        <w:t xml:space="preserve">]</w:t>
      </w:r>
    </w:p>
    <w:p>
      <w:pPr>
        <w:pStyle w:val="BodyText"/>
      </w:pPr>
      <w:r>
        <w:t xml:space="preserve">Cette dimension indique que le couplage gravitationnel effectif dépend de l’échelle d’énergie du processus considéré. On peut écrire schématiquement :</w:t>
      </w:r>
    </w:p>
    <w:p>
      <w:pPr>
        <w:pStyle w:val="BodyText"/>
      </w:pPr>
      <w:r>
        <w:t xml:space="preserve">[</w:t>
      </w:r>
      <w:r>
        <w:t xml:space="preserve"> </w:t>
      </w:r>
      <w:r>
        <w:t xml:space="preserve">_G(E)</w:t>
      </w:r>
      <w:r>
        <w:t xml:space="preserve"> </w:t>
      </w:r>
      <w:r>
        <w:t xml:space="preserve">G E^2</w:t>
      </w:r>
      <w:r>
        <w:t xml:space="preserve"> </w:t>
      </w:r>
      <w:r>
        <w:t xml:space="preserve">]</w:t>
      </w:r>
    </w:p>
    <w:p>
      <w:pPr>
        <w:pStyle w:val="BodyText"/>
      </w:pPr>
      <w:r>
        <w:t xml:space="preserve">La gravitation devient donc plus naturellement lisible à travers une grandeur sans dimension dépendant d’une échelle :</w:t>
      </w:r>
    </w:p>
    <w:p>
      <w:pPr>
        <w:pStyle w:val="BodyText"/>
      </w:pPr>
      <w:r>
        <w:t xml:space="preserve">[</w:t>
      </w:r>
      <w:r>
        <w:t xml:space="preserve"> </w:t>
      </w:r>
      <w:r>
        <w:t xml:space="preserve">_G(E)</w:t>
      </w:r>
      <w:r>
        <w:t xml:space="preserve">(</w:t>
      </w:r>
      <w:r>
        <w:t xml:space="preserve">)^2</w:t>
      </w:r>
      <w:r>
        <w:t xml:space="preserve"> </w:t>
      </w:r>
      <w:r>
        <w:t xml:space="preserve">]</w:t>
      </w:r>
    </w:p>
    <w:p>
      <w:pPr>
        <w:pStyle w:val="BodyText"/>
      </w:pPr>
      <w:r>
        <w:t xml:space="preserve">La question pertinente n’est donc pas seulement : quelle est la valeur de (G) ? Elle est plutôt : à quelle échelle d’énergie la gravitation devient-elle une interaction forte ou incontournable ?</w:t>
      </w:r>
    </w:p>
    <w:bookmarkEnd w:id="22"/>
    <w:bookmarkStart w:id="23" w:name="X2c715a38bcc011cf43bfc314c698c6a164d7132"/>
    <w:p>
      <w:pPr>
        <w:pStyle w:val="Heading2"/>
      </w:pPr>
      <w:r>
        <w:t xml:space="preserve">3. Masse de Planck et échelle gravitationnelle</w:t>
      </w:r>
    </w:p>
    <w:p>
      <w:pPr>
        <w:pStyle w:val="FirstParagraph"/>
      </w:pPr>
      <w:r>
        <w:t xml:space="preserve">La masse de Planck est définie par :</w:t>
      </w:r>
    </w:p>
    <w:p>
      <w:pPr>
        <w:pStyle w:val="BodyText"/>
      </w:pPr>
      <w:r>
        <w:t xml:space="preserve">[</w:t>
      </w:r>
      <w:r>
        <w:t xml:space="preserve"> </w:t>
      </w:r>
      <w:r>
        <w:t xml:space="preserve">M_{</w:t>
      </w:r>
      <w:r>
        <w:t xml:space="preserve">} =</w:t>
      </w:r>
      <w:r>
        <w:t xml:space="preserve"> </w:t>
      </w:r>
      <w:r>
        <w:t xml:space="preserve"> </w:t>
      </w:r>
      <w:r>
        <w:t xml:space="preserve">]</w:t>
      </w:r>
    </w:p>
    <w:p>
      <w:pPr>
        <w:pStyle w:val="BodyText"/>
      </w:pPr>
      <w:r>
        <w:t xml:space="preserve">dans la convention non réduite. Elle vaut environ :</w:t>
      </w:r>
    </w:p>
    <w:p>
      <w:pPr>
        <w:pStyle w:val="BodyText"/>
      </w:pPr>
      <w:r>
        <w:t xml:space="preserve">[</w:t>
      </w:r>
      <w:r>
        <w:t xml:space="preserve"> </w:t>
      </w:r>
      <w:r>
        <w:t xml:space="preserve">M_{</w:t>
      </w:r>
      <w:r>
        <w:t xml:space="preserve">}</w:t>
      </w:r>
      <w:r>
        <w:t xml:space="preserve"> </w:t>
      </w:r>
      <w:r>
        <w:t xml:space="preserve">176</w:t>
      </w:r>
      <w:r>
        <w:t xml:space="preserve"> </w:t>
      </w:r>
      <w:r>
        <w:t xml:space="preserve">^{-8} </w:t>
      </w:r>
      <w:r>
        <w:t xml:space="preserve"> </w:t>
      </w:r>
      <w:r>
        <w:t xml:space="preserve">]</w:t>
      </w:r>
    </w:p>
    <w:p>
      <w:pPr>
        <w:pStyle w:val="BodyText"/>
      </w:pPr>
      <w:r>
        <w:t xml:space="preserve">ou, en énergie :</w:t>
      </w:r>
    </w:p>
    <w:p>
      <w:pPr>
        <w:pStyle w:val="BodyText"/>
      </w:pPr>
      <w:r>
        <w:t xml:space="preserve">[</w:t>
      </w:r>
      <w:r>
        <w:t xml:space="preserve"> </w:t>
      </w:r>
      <w:r>
        <w:t xml:space="preserve">M_{</w:t>
      </w:r>
      <w:r>
        <w:t xml:space="preserve">}c^2</w:t>
      </w:r>
      <w:r>
        <w:t xml:space="preserve"> </w:t>
      </w:r>
      <w:r>
        <w:t xml:space="preserve">22</w:t>
      </w:r>
      <w:r>
        <w:t xml:space="preserve"> </w:t>
      </w:r>
      <w:r>
        <w:t xml:space="preserve">^{19} </w:t>
      </w:r>
      <w:r>
        <w:t xml:space="preserve"> </w:t>
      </w:r>
      <w:r>
        <w:t xml:space="preserve">]</w:t>
      </w:r>
    </w:p>
    <w:p>
      <w:pPr>
        <w:pStyle w:val="BodyText"/>
      </w:pPr>
      <w:r>
        <w:t xml:space="preserve">Le couplage gravitationnel sans dimension associé à une masse (m) peut alors s’écrire :</w:t>
      </w:r>
    </w:p>
    <w:p>
      <w:pPr>
        <w:pStyle w:val="BodyText"/>
      </w:pPr>
      <w:r>
        <w:t xml:space="preserve">[</w:t>
      </w:r>
      <w:r>
        <w:t xml:space="preserve"> </w:t>
      </w:r>
      <w:r>
        <w:t xml:space="preserve">_G(m)=</w:t>
      </w:r>
      <w:r>
        <w:t xml:space="preserve">(</w:t>
      </w:r>
      <w:r>
        <w:t xml:space="preserve">)^2</w:t>
      </w:r>
      <w:r>
        <w:t xml:space="preserve"> </w:t>
      </w:r>
      <w:r>
        <w:t xml:space="preserve">]</w:t>
      </w:r>
    </w:p>
    <w:p>
      <w:pPr>
        <w:pStyle w:val="BodyText"/>
      </w:pPr>
      <w:r>
        <w:t xml:space="preserve">Cette relation donne le cœur conceptuel de la fiche. La faiblesse de la gravitation dans le monde des particules ordinaires exprime l’écart immense entre les masses usuelles et la masse de Planck.</w:t>
      </w:r>
    </w:p>
    <w:p>
      <w:pPr>
        <w:pStyle w:val="BodyText"/>
      </w:pPr>
      <w:r>
        <w:t xml:space="preserve">Ainsi, la masse de Planck ne doit pas être comprise seulement comme une constante construite à partir de (G), (</w:t>
      </w:r>
      <w:r>
        <w:t xml:space="preserve">) et (c). Elle fonctionne comme une échelle de comparaison : elle indique le domaine où la gravitation quantique devrait devenir pertinente et où la description basse énergie cesse probablement d’être suffisante.</w:t>
      </w:r>
    </w:p>
    <w:bookmarkEnd w:id="23"/>
    <w:bookmarkStart w:id="25" w:name="X3f4309e404423f378544bf4e8e4ff3d6e518822"/>
    <w:p>
      <w:pPr>
        <w:pStyle w:val="Heading2"/>
      </w:pPr>
      <w:r>
        <w:t xml:space="preserve">4. Gravitation basse énergie et théorie effective</w:t>
      </w:r>
    </w:p>
    <w:p>
      <w:pPr>
        <w:pStyle w:val="FirstParagraph"/>
      </w:pPr>
      <w:r>
        <w:t xml:space="preserve">La relativité générale décrit la gravitation avec une précision remarquable dans un vaste domaine : dynamique planétaire, lentilles gravitationnelles, trous noirs classiques, ondes gravitationnelles, cosmologie relativiste. Elle constitue le cadre classique de référence pour la gravitation.</w:t>
      </w:r>
    </w:p>
    <w:p>
      <w:pPr>
        <w:pStyle w:val="BodyText"/>
      </w:pPr>
      <w:r>
        <w:t xml:space="preserve">Lorsqu’on cherche à traiter la gravitation comme une théorie quantique des champs perturbative ordinaire, le caractère dimensionné de (G) devient central. Il indique que la théorie n’est pas renormalisable au sens habituel des théories de jauge du Modèle standard.</w:t>
      </w:r>
    </w:p>
    <w:p>
      <w:pPr>
        <w:pStyle w:val="BodyText"/>
      </w:pPr>
      <w:r>
        <w:t xml:space="preserve">Cela ne rend pas la relativité générale inutilisable dans un contexte quantique. Elle peut être traitée comme une théorie effective des champs à basse énergie. Dans cette lecture, la relativité générale reste valide et calculable tant que les énergies caractéristiques restent très inférieures à l’échelle de Planck. Donoghue défend précisément cette approche de la relativité générale comme théorie effective à basse énergie. (</w:t>
      </w:r>
      <w:hyperlink r:id="rId24">
        <w:r>
          <w:rPr>
            <w:rStyle w:val="Hyperlink"/>
          </w:rPr>
          <w:t xml:space="preserve">arxiv.org</w:t>
        </w:r>
      </w:hyperlink>
      <w:r>
        <w:t xml:space="preserve">)</w:t>
      </w:r>
    </w:p>
    <w:p>
      <w:pPr>
        <w:pStyle w:val="BodyText"/>
      </w:pPr>
      <w:r>
        <w:t xml:space="preserve">Le régime gravitationnel basse énergie peut donc être décrit comme un régime effectif stabilisé par une immense séparation d’échelles :</w:t>
      </w:r>
    </w:p>
    <w:p>
      <w:pPr>
        <w:pStyle w:val="BodyText"/>
      </w:pPr>
      <w:r>
        <w:t xml:space="preserve">[</w:t>
      </w:r>
      <w:r>
        <w:t xml:space="preserve"> </w:t>
      </w:r>
      <w:r>
        <w:t xml:space="preserve">E</w:t>
      </w:r>
      <w:r>
        <w:t xml:space="preserve"> </w:t>
      </w:r>
      <w:r>
        <w:t xml:space="preserve">M_{</w:t>
      </w:r>
      <w:r>
        <w:t xml:space="preserve">}</w:t>
      </w:r>
      <w:r>
        <w:t xml:space="preserve"> </w:t>
      </w:r>
      <w:r>
        <w:t xml:space="preserve">]</w:t>
      </w:r>
    </w:p>
    <w:p>
      <w:pPr>
        <w:pStyle w:val="BodyText"/>
      </w:pPr>
      <w:r>
        <w:t xml:space="preserve">Dans ce domaine, les corrections quantiques gravitationnelles sont extrêmement faibles. La gravitation est présente, mais son couplage quantique effectif est fortement supprimé.</w:t>
      </w:r>
    </w:p>
    <w:bookmarkEnd w:id="25"/>
    <w:bookmarkStart w:id="26" w:name="X79104f37b69a560b478eab5ff4d67e0eba676d2"/>
    <w:p>
      <w:pPr>
        <w:pStyle w:val="Heading2"/>
      </w:pPr>
      <w:r>
        <w:t xml:space="preserve">5. Couplage gravitationnel et hiérarchie des interactions</w:t>
      </w:r>
    </w:p>
    <w:p>
      <w:pPr>
        <w:pStyle w:val="FirstParagraph"/>
      </w:pPr>
      <w:r>
        <w:t xml:space="preserve">Le couplage gravitationnel entre deux protons :</w:t>
      </w:r>
    </w:p>
    <w:p>
      <w:pPr>
        <w:pStyle w:val="BodyText"/>
      </w:pPr>
      <w:r>
        <w:t xml:space="preserve">[</w:t>
      </w:r>
      <w:r>
        <w:t xml:space="preserve"> </w:t>
      </w:r>
      <w:r>
        <w:t xml:space="preserve">_G</w:t>
      </w:r>
      <w:r>
        <w:rPr>
          <w:vertAlign w:val="superscript"/>
        </w:rPr>
        <w:t xml:space="preserve">{(p)}</w:t>
      </w:r>
      <w:r>
        <w:rPr>
          <w:vertAlign w:val="superscript"/>
        </w:rPr>
        <w:t xml:space="preserve">5{,}9</w:t>
      </w:r>
      <w:r>
        <w:t xml:space="preserve">{-39}</w:t>
      </w:r>
      <w:r>
        <w:t xml:space="preserve"> </w:t>
      </w:r>
      <w:r>
        <w:t xml:space="preserve">]</w:t>
      </w:r>
    </w:p>
    <w:p>
      <w:pPr>
        <w:pStyle w:val="BodyText"/>
      </w:pPr>
      <w:r>
        <w:t xml:space="preserve">est minuscule à l’échelle microscopique. Cette faiblesse explique pourquoi la gravitation est négligeable dans la plupart des processus atomiques, moléculaires, nucléaires ou électrofaibles.</w:t>
      </w:r>
    </w:p>
    <w:p>
      <w:pPr>
        <w:pStyle w:val="BodyText"/>
      </w:pPr>
      <w:r>
        <w:t xml:space="preserve">Mais cette faiblesse n’est pas une propriété uniforme de tous les régimes. À l’échelle macroscopique, la gravitation devient dominante parce que les masses s’additionnent et que la matière ordinaire est globalement électriquement neutre. À l’échelle cosmologique, elle structure l’évolution de l’univers observable. À l’approche de l’échelle de Planck, elle devrait devenir incompatible avec une simple description classique.</w:t>
      </w:r>
    </w:p>
    <w:p>
      <w:pPr>
        <w:pStyle w:val="BodyText"/>
      </w:pPr>
      <w:r>
        <w:t xml:space="preserve">La gravitation impose donc une lecture multi-échelle. Une même interaction peut être négligeable dans certains régimes, dominante dans d’autres, et théoriquement problématique près de son échelle propre.</w:t>
      </w:r>
    </w:p>
    <w:bookmarkEnd w:id="26"/>
    <w:bookmarkStart w:id="28" w:name="stabilité-et-variation-possible"/>
    <w:p>
      <w:pPr>
        <w:pStyle w:val="Heading2"/>
      </w:pPr>
      <w:r>
        <w:t xml:space="preserve">6. Stabilité et variation possible</w:t>
      </w:r>
    </w:p>
    <w:p>
      <w:pPr>
        <w:pStyle w:val="FirstParagraph"/>
      </w:pPr>
      <w:r>
        <w:t xml:space="preserve">Les recherches sur une éventuelle variation de (G) doivent être formulées avec prudence. Puisque (G) est dimensionnée, le contenu physique robuste ne se trouve pas dans la variation d’un nombre isolé, mais dans la variation de rapports, de paramètres observables ou de combinaisons sans dimension.</w:t>
      </w:r>
    </w:p>
    <w:p>
      <w:pPr>
        <w:pStyle w:val="BodyText"/>
      </w:pPr>
      <w:r>
        <w:t xml:space="preserve">Uzan rappelle que les tests de variation des constantes doivent être reliés à des grandeurs sans dimension et que toute variation physique effective serait liée à des questions profondes : invariance de position locale, principe d’équivalence, nouveaux champs scalaires, couplages à la matière, ou extensions de la relativité générale. (</w:t>
      </w:r>
      <w:hyperlink r:id="rId27">
        <w:r>
          <w:rPr>
            <w:rStyle w:val="Hyperlink"/>
          </w:rPr>
          <w:t xml:space="preserve">arxiv.org</w:t>
        </w:r>
      </w:hyperlink>
      <w:r>
        <w:t xml:space="preserve">)</w:t>
      </w:r>
    </w:p>
    <w:p>
      <w:pPr>
        <w:pStyle w:val="BodyText"/>
      </w:pPr>
      <w:r>
        <w:t xml:space="preserve">Dans le cas gravitationnel, les observations pertinentes incluent les tests du principe d’équivalence, la dynamique du système solaire, les pulsars binaires, les ondes gravitationnelles, la cosmologie et les théories scalaires-tensorielles. Mais pour cette fiche, l’enjeu principal est plus fondamental : identifier les grandeurs dans lesquelles la constance gravitationnelle possède un contenu physique bien défini.</w:t>
      </w:r>
    </w:p>
    <w:p>
      <w:pPr>
        <w:pStyle w:val="BodyText"/>
      </w:pPr>
      <w:r>
        <w:t xml:space="preserve">Le bon objet n’est donc pas (G) seul, mais des combinaisons comme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ou d’autres rapports adaptés au domaine étudié.</w:t>
      </w:r>
    </w:p>
    <w:bookmarkEnd w:id="28"/>
    <w:bookmarkStart w:id="29" w:name="X08de553b9aa0a801f4a846909bbfb90935528a5"/>
    <w:p>
      <w:pPr>
        <w:pStyle w:val="Heading2"/>
      </w:pPr>
      <w:r>
        <w:t xml:space="preserve">7. Lecture par la grille des constantes effectives stabilisées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Critère</w:t>
            </w:r>
          </w:p>
        </w:tc>
        <w:tc>
          <w:tcPr/>
          <w:p>
            <w:pPr>
              <w:pStyle w:val="Compact"/>
            </w:pPr>
            <w:r>
              <w:t xml:space="preserve">Lecture pour (</w:t>
            </w:r>
            <w:r>
              <w:rPr>
                <w:i/>
                <w:iCs/>
              </w:rPr>
              <w:t xml:space="preserve">G / M</w:t>
            </w:r>
            <w:r>
              <w:t xml:space="preserve">{</w:t>
            </w:r>
            <w:r>
              <w:t xml:space="preserve">})</w:t>
            </w:r>
          </w:p>
        </w:tc>
      </w:tr>
      <w:tr>
        <w:tc>
          <w:tcPr/>
          <w:p>
            <w:pPr>
              <w:pStyle w:val="Compact"/>
            </w:pPr>
            <w:r>
              <w:t xml:space="preserve">Grandeur dimensionnée de départ</w:t>
            </w:r>
          </w:p>
        </w:tc>
        <w:tc>
          <w:tcPr/>
          <w:p>
            <w:pPr>
              <w:pStyle w:val="Compact"/>
            </w:pPr>
            <w:r>
              <w:t xml:space="preserve">(G)</w:t>
            </w:r>
          </w:p>
        </w:tc>
      </w:tr>
      <w:tr>
        <w:tc>
          <w:tcPr/>
          <w:p>
            <w:pPr>
              <w:pStyle w:val="Compact"/>
            </w:pPr>
            <w:r>
              <w:t xml:space="preserve">Grandeur sans dimension associée</w:t>
            </w:r>
          </w:p>
        </w:tc>
        <w:tc>
          <w:tcPr/>
          <w:p>
            <w:pPr>
              <w:pStyle w:val="Compact"/>
            </w:pPr>
            <w:r>
              <w:t xml:space="preserve">(</w:t>
            </w:r>
            <w:r>
              <w:t xml:space="preserve">_G(m)=Gm^2/</w:t>
            </w:r>
            <w:r>
              <w:t xml:space="preserve">c)</w:t>
            </w:r>
          </w:p>
        </w:tc>
      </w:tr>
      <w:tr>
        <w:tc>
          <w:tcPr/>
          <w:p>
            <w:pPr>
              <w:pStyle w:val="Compact"/>
            </w:pPr>
            <w:r>
              <w:t xml:space="preserve">Échelle de référence</w:t>
            </w:r>
          </w:p>
        </w:tc>
        <w:tc>
          <w:tcPr/>
          <w:p>
            <w:pPr>
              <w:pStyle w:val="Compact"/>
            </w:pPr>
            <w:r>
              <w:t xml:space="preserve">(M_{</w:t>
            </w:r>
            <w:r>
              <w:t xml:space="preserve">}=</w:t>
            </w:r>
            <w:r>
              <w:t xml:space="preserve">)</w:t>
            </w:r>
          </w:p>
        </w:tc>
      </w:tr>
      <w:tr>
        <w:tc>
          <w:tcPr/>
          <w:p>
            <w:pPr>
              <w:pStyle w:val="Compact"/>
            </w:pPr>
            <w:r>
              <w:t xml:space="preserve">Valeur protonique</w:t>
            </w:r>
          </w:p>
        </w:tc>
        <w:tc>
          <w:tcPr/>
          <w:p>
            <w:pPr>
              <w:pStyle w:val="Compact"/>
            </w:pPr>
            <w:r>
              <w:t xml:space="preserve">(</w:t>
            </w:r>
            <w:r>
              <w:t xml:space="preserve">_G</w:t>
            </w:r>
            <w:r>
              <w:rPr>
                <w:vertAlign w:val="superscript"/>
              </w:rPr>
              <w:t xml:space="preserve">{(p)}</w:t>
            </w:r>
            <w:r>
              <w:rPr>
                <w:vertAlign w:val="superscript"/>
              </w:rPr>
              <w:t xml:space="preserve">5{,}9</w:t>
            </w:r>
            <w:r>
              <w:t xml:space="preserve">{-39})</w:t>
            </w:r>
          </w:p>
        </w:tc>
      </w:tr>
      <w:tr>
        <w:tc>
          <w:tcPr/>
          <w:p>
            <w:pPr>
              <w:pStyle w:val="Compact"/>
            </w:pPr>
            <w:r>
              <w:t xml:space="preserve">Valeur électronique</w:t>
            </w:r>
          </w:p>
        </w:tc>
        <w:tc>
          <w:tcPr/>
          <w:p>
            <w:pPr>
              <w:pStyle w:val="Compact"/>
            </w:pPr>
            <w:r>
              <w:t xml:space="preserve">(</w:t>
            </w:r>
            <w:r>
              <w:t xml:space="preserve">_G</w:t>
            </w:r>
            <w:r>
              <w:rPr>
                <w:vertAlign w:val="superscript"/>
              </w:rPr>
              <w:t xml:space="preserve">{(e)}</w:t>
            </w:r>
            <w:r>
              <w:rPr>
                <w:vertAlign w:val="superscript"/>
              </w:rPr>
              <w:t xml:space="preserve">1{,}75</w:t>
            </w:r>
            <w:r>
              <w:t xml:space="preserve">{-45})</w:t>
            </w:r>
          </w:p>
        </w:tc>
      </w:tr>
      <w:tr>
        <w:tc>
          <w:tcPr/>
          <w:p>
            <w:pPr>
              <w:pStyle w:val="Compact"/>
            </w:pPr>
            <w:r>
              <w:t xml:space="preserve">Statut physique</w:t>
            </w:r>
          </w:p>
        </w:tc>
        <w:tc>
          <w:tcPr/>
          <w:p>
            <w:pPr>
              <w:pStyle w:val="Compact"/>
            </w:pPr>
            <w:r>
              <w:t xml:space="preserve">Couplage gravitationnel effectif indexé à une masse ou une énergie</w:t>
            </w:r>
          </w:p>
        </w:tc>
      </w:tr>
      <w:tr>
        <w:tc>
          <w:tcPr/>
          <w:p>
            <w:pPr>
              <w:pStyle w:val="Compact"/>
            </w:pPr>
            <w:r>
              <w:t xml:space="preserve">Régime basse énergie</w:t>
            </w:r>
          </w:p>
        </w:tc>
        <w:tc>
          <w:tcPr/>
          <w:p>
            <w:pPr>
              <w:pStyle w:val="Compact"/>
            </w:pPr>
            <w:r>
              <w:t xml:space="preserve">Gravitation quantique fortement supprimée</w:t>
            </w:r>
          </w:p>
        </w:tc>
      </w:tr>
      <w:tr>
        <w:tc>
          <w:tcPr/>
          <w:p>
            <w:pPr>
              <w:pStyle w:val="Compact"/>
            </w:pPr>
            <w:r>
              <w:t xml:space="preserve">Régime classique</w:t>
            </w:r>
          </w:p>
        </w:tc>
        <w:tc>
          <w:tcPr/>
          <w:p>
            <w:pPr>
              <w:pStyle w:val="Compact"/>
            </w:pPr>
            <w:r>
              <w:t xml:space="preserve">Relativité générale comme description efficace de la gravitation macroscopique</w:t>
            </w:r>
          </w:p>
        </w:tc>
      </w:tr>
      <w:tr>
        <w:tc>
          <w:tcPr/>
          <w:p>
            <w:pPr>
              <w:pStyle w:val="Compact"/>
            </w:pPr>
            <w:r>
              <w:t xml:space="preserve">Régime haute énergie</w:t>
            </w:r>
          </w:p>
        </w:tc>
        <w:tc>
          <w:tcPr/>
          <w:p>
            <w:pPr>
              <w:pStyle w:val="Compact"/>
            </w:pPr>
            <w:r>
              <w:t xml:space="preserve">Gravitation quantique attendue près de (M_{</w:t>
            </w:r>
            <w:r>
              <w:t xml:space="preserve">})</w:t>
            </w:r>
          </w:p>
        </w:tc>
      </w:tr>
      <w:tr>
        <w:tc>
          <w:tcPr/>
          <w:p>
            <w:pPr>
              <w:pStyle w:val="Compact"/>
            </w:pPr>
            <w:r>
              <w:t xml:space="preserve">Question centrale</w:t>
            </w:r>
          </w:p>
        </w:tc>
        <w:tc>
          <w:tcPr/>
          <w:p>
            <w:pPr>
              <w:pStyle w:val="Compact"/>
            </w:pPr>
            <w:r>
              <w:t xml:space="preserve">Comment formuler la constance gravitationnelle à partir de rapports physiques sans dimension ?</w:t>
            </w:r>
          </w:p>
        </w:tc>
      </w:tr>
    </w:tbl>
    <w:bookmarkEnd w:id="29"/>
    <w:bookmarkStart w:id="30" w:name="catégorie-proposée"/>
    <w:p>
      <w:pPr>
        <w:pStyle w:val="Heading2"/>
      </w:pPr>
      <w:r>
        <w:t xml:space="preserve">8. Catégorie proposée</w:t>
      </w:r>
    </w:p>
    <w:p>
      <w:pPr>
        <w:pStyle w:val="FirstParagraph"/>
      </w:pPr>
      <w:r>
        <w:t xml:space="preserve">Le cas gravitationnel introduit la catégorie de</w:t>
      </w:r>
      <w:r>
        <w:t xml:space="preserve"> </w:t>
      </w:r>
      <w:r>
        <w:rPr>
          <w:b/>
          <w:bCs/>
        </w:rPr>
        <w:t xml:space="preserve">constante de hiérarchie d’échelle</w:t>
      </w:r>
      <w:r>
        <w:t xml:space="preserve">.</w:t>
      </w:r>
    </w:p>
    <w:p>
      <w:pPr>
        <w:pStyle w:val="BodyText"/>
      </w:pPr>
      <w:r>
        <w:t xml:space="preserve">Une constante de hiérarchie d’échelle désigne une grandeur dont le statut de constance dépend d’un écart structurel entre l’échelle physique du régime étudié et une échelle de référence plus profonde. Dans le cas de la gravitation, le régime basse énergie est stabilisé par l’immense séparation entre les énergies ordinaires et l’échelle de Planck.</w:t>
      </w:r>
    </w:p>
    <w:p>
      <w:pPr>
        <w:pStyle w:val="BodyText"/>
      </w:pPr>
      <w:r>
        <w:t xml:space="preserve">Cette catégorie permet d’éviter deux confusions.</w:t>
      </w:r>
    </w:p>
    <w:p>
      <w:pPr>
        <w:pStyle w:val="BodyText"/>
      </w:pPr>
      <w:r>
        <w:t xml:space="preserve">Première confusion : traiter (G) comme un nombre comparable directement aux constantes sans dimension.</w:t>
      </w:r>
    </w:p>
    <w:p>
      <w:pPr>
        <w:pStyle w:val="BodyText"/>
      </w:pPr>
      <w:r>
        <w:t xml:space="preserve">Deuxième confusion : croire que la faiblesse microscopique de la gravitation est une faiblesse absolue, valable de la même manière dans tous les régimes.</w:t>
      </w:r>
    </w:p>
    <w:p>
      <w:pPr>
        <w:pStyle w:val="BodyText"/>
      </w:pPr>
      <w:r>
        <w:t xml:space="preserve">La gravitation est faible dans certains domaines, dominante dans d’autres, et probablement non classique près de l’échelle de Planck. Sa constance doit donc être formulée en fonction des rapports d’échelle qui rendent ce comportement intelligible.</w:t>
      </w:r>
    </w:p>
    <w:bookmarkEnd w:id="30"/>
    <w:bookmarkStart w:id="31" w:name="formulation-provisoire"/>
    <w:p>
      <w:pPr>
        <w:pStyle w:val="Heading2"/>
      </w:pPr>
      <w:r>
        <w:t xml:space="preserve">9. Formulation provisoire</w:t>
      </w:r>
    </w:p>
    <w:p>
      <w:pPr>
        <w:pStyle w:val="FirstParagraph"/>
      </w:pPr>
      <w:r>
        <w:t xml:space="preserve">La gravitation peut être comprise, dans le régime basse énergie, comme une interaction à couplage effectif extrêmement faible parce que les masses et énergies ordinaires sont très inférieures à l’échelle de Planck. (G) seul est une constante dimensionnée ; son contenu physique devient plus clair lorsqu’il est reformulé à travers (</w:t>
      </w:r>
      <w:r>
        <w:rPr>
          <w:i/>
          <w:iCs/>
        </w:rPr>
        <w:t xml:space="preserve">G), (m/M</w:t>
      </w:r>
      <w:r>
        <w:t xml:space="preserve">{</w:t>
      </w:r>
      <w:r>
        <w:t xml:space="preserve">}) ou (E/M_{</w:t>
      </w:r>
      <w:r>
        <w:t xml:space="preserve">}).</w:t>
      </w:r>
    </w:p>
    <w:p>
      <w:pPr>
        <w:pStyle w:val="BodyText"/>
      </w:pPr>
      <w:r>
        <w:t xml:space="preserve">La question pertinente devient donc :</w:t>
      </w:r>
    </w:p>
    <w:p>
      <w:pPr>
        <w:pStyle w:val="BodyText"/>
      </w:pPr>
      <w:r>
        <w:rPr>
          <w:b/>
          <w:bCs/>
        </w:rPr>
        <w:t xml:space="preserve">À quelles conditions la gravitation peut-elle être traitée comme une interaction à constante stabilisée, alors que son couplage naturel est dimensionné et que sa force effective dépend du rapport entre l’énergie du processus et l’échelle de Planck ?</w:t>
      </w:r>
    </w:p>
    <w:bookmarkEnd w:id="31"/>
    <w:bookmarkStart w:id="32" w:name="fonction-dans-lenquête-générale"/>
    <w:p>
      <w:pPr>
        <w:pStyle w:val="Heading2"/>
      </w:pPr>
      <w:r>
        <w:t xml:space="preserve">10. Fonction dans l’enquête générale</w:t>
      </w:r>
    </w:p>
    <w:p>
      <w:pPr>
        <w:pStyle w:val="FirstParagraph"/>
      </w:pPr>
      <w:r>
        <w:t xml:space="preserve">Cette fiche élargit la cartographie des régimes de constance au domaine gravitationnel. Elle montre que la constance d’une grandeur physique peut dépendre d’une hiérarchie entre échelles, et non seulement d’une valeur mesurée ou d’un régime de symétrie.</w:t>
      </w:r>
    </w:p>
    <w:p>
      <w:pPr>
        <w:pStyle w:val="BodyText"/>
      </w:pPr>
      <w:r>
        <w:t xml:space="preserve">Elle permet de formuler proprement la question gravitationnelle : non pas</w:t>
      </w:r>
      <w:r>
        <w:t xml:space="preserve"> </w:t>
      </w:r>
      <w:r>
        <w:t xml:space="preserve">“(G) varie-t-il ?”</w:t>
      </w:r>
      <w:r>
        <w:t xml:space="preserve">, mais</w:t>
      </w:r>
      <w:r>
        <w:t xml:space="preserve"> </w:t>
      </w:r>
      <w:r>
        <w:t xml:space="preserve">“quelles combinaisons sans dimension expriment le contenu physique de la constance gravitationnelle ?”</w:t>
      </w:r>
    </w:p>
    <w:p>
      <w:pPr>
        <w:pStyle w:val="BodyText"/>
      </w:pPr>
      <w:r>
        <w:t xml:space="preserve">Ce déplacement rend possible un traitement plus rigoureux des constantes gravitationnelles et cosmologiques, notamment lorsqu’il faudra aborder les rapports entre gravitation, échelle de Planck, densité d’énergie du vide et paramètres cosmologiques.</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arxiv.org/abs/2211.09902" TargetMode="External" /><Relationship Type="http://schemas.openxmlformats.org/officeDocument/2006/relationships/hyperlink" Id="rId27" Target="https://arxiv.org/abs/2410.07281" TargetMode="External" /></Relationships>
</file>

<file path=word/_rels/footnotes.xml.rels><?xml version="1.0" encoding="UTF-8"?><Relationships xmlns="http://schemas.openxmlformats.org/package/2006/relationships"><Relationship Type="http://schemas.openxmlformats.org/officeDocument/2006/relationships/hyperlink" Id="rId24" Target="https://arxiv.org/abs/2211.09902" TargetMode="External" /><Relationship Type="http://schemas.openxmlformats.org/officeDocument/2006/relationships/hyperlink" Id="rId27" Target="https://arxiv.org/abs/2410.0728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2026-07-08T17:54:41Z</dcterms:created>
  <dcterms:modified xsi:type="dcterms:W3CDTF">2026-07-08T17:54:41Z</dcterms:modified>
</cp:coreProperties>
</file>

<file path=docProps/custom.xml><?xml version="1.0" encoding="utf-8"?>
<Properties xmlns="http://schemas.openxmlformats.org/officeDocument/2006/custom-properties" xmlns:vt="http://schemas.openxmlformats.org/officeDocument/2006/docPropsVTypes"/>
</file>