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fiche-g-m-v0.1"/>
    <w:p>
      <w:pPr>
        <w:pStyle w:val="Heading1"/>
      </w:pPr>
      <w:r>
        <w:t xml:space="preserve">Fiche (</w:t>
      </w:r>
      <w:r>
        <w:rPr>
          <w:i/>
          <w:iCs/>
        </w:rPr>
        <w:t xml:space="preserve">G / M</w:t>
      </w:r>
      <w:r>
        <w:t xml:space="preserve">{</w:t>
      </w:r>
      <w:r>
        <w:t xml:space="preserve">}) v0.1</w:t>
      </w:r>
    </w:p>
    <w:bookmarkStart w:id="20" w:name="X90a0a4cceb222ec7b0e49be1b38a6ce7f43d968"/>
    <w:p>
      <w:pPr>
        <w:pStyle w:val="Heading2"/>
      </w:pPr>
      <w:r>
        <w:t xml:space="preserve">Couplage gravitationnel sans dimension, échelle de Planck et régime gravitationnel basse énergie</w:t>
      </w:r>
    </w:p>
    <w:bookmarkEnd w:id="20"/>
    <w:bookmarkStart w:id="22" w:name="identification"/>
    <w:p>
      <w:pPr>
        <w:pStyle w:val="Heading2"/>
      </w:pPr>
      <w:r>
        <w:t xml:space="preserve">1. Identification</w:t>
      </w:r>
    </w:p>
    <w:p>
      <w:pPr>
        <w:pStyle w:val="FirstParagraph"/>
      </w:pPr>
      <w:r>
        <w:t xml:space="preserve">La constante gravitationnelle de Newton (G) intervient dans la loi de la gravitation newtonienne et dans la relativité générale. Dans les unités SI, (G) est une grandeur dimensionnée. Sa valeur numérique dépend du système d’unités, ce qui interdit de la traiter isolément comme une constante directement comparable à (</w:t>
      </w:r>
      <w:r>
        <w:t xml:space="preserve">), (m_p/m_e) ou aux couplages de Yukawa.</w:t>
      </w:r>
    </w:p>
    <w:p>
      <w:pPr>
        <w:pStyle w:val="BodyText"/>
      </w:pPr>
      <w:r>
        <w:t xml:space="preserve">CODATA 2022, publié en 2024, donne la valeur recommandée des constantes physiques à partir d’un ajustement cohérent des données disponibles jusqu’au 31 décembre 2022. Le cas de (G) reste particulier : il s’agit d’une constante beaucoup moins précisément déterminée que (</w:t>
      </w:r>
      <w:r>
        <w:t xml:space="preserve">), (m_e) ou plusieurs constantes atomiques. (</w:t>
      </w:r>
      <w:hyperlink r:id="rId21">
        <w:r>
          <w:rPr>
            <w:rStyle w:val="Hyperlink"/>
          </w:rPr>
          <w:t xml:space="preserve">arxiv.org</w:t>
        </w:r>
      </w:hyperlink>
      <w:r>
        <w:t xml:space="preserve">)</w:t>
      </w:r>
    </w:p>
    <w:p>
      <w:pPr>
        <w:pStyle w:val="BodyText"/>
      </w:pPr>
      <w:r>
        <w:t xml:space="preserve">Pour notre enquête, la grandeur pertinente n’est donc pas (G) seul, mais un couplage gravitationnel sans dimension. Pour deux protons, on peut écrire :</w:t>
      </w:r>
    </w:p>
    <w:p>
      <w:pPr>
        <w:pStyle w:val="BodyText"/>
      </w:pPr>
      <w:r>
        <w:t xml:space="preserve">[</w:t>
      </w:r>
      <w:r>
        <w:t xml:space="preserve"> </w:t>
      </w:r>
      <w:r>
        <w:t xml:space="preserve">_G^{(p)}=</w:t>
      </w:r>
      <w:r>
        <w:t xml:space="preserve"> </w:t>
      </w:r>
      <w:r>
        <w:t xml:space="preserve">]</w:t>
      </w:r>
    </w:p>
    <w:p>
      <w:pPr>
        <w:pStyle w:val="BodyText"/>
      </w:pPr>
      <w:r>
        <w:t xml:space="preserve">Cette grandeur compare l’intensité gravitationnelle associée à deux masses protoniques à l’échelle quantique-relativiste donnée par (</w:t>
      </w:r>
      <w:r>
        <w:t xml:space="preserve">c). Elle vaut approximativement :</w:t>
      </w:r>
    </w:p>
    <w:p>
      <w:pPr>
        <w:pStyle w:val="BodyText"/>
      </w:pPr>
      <w:r>
        <w:t xml:space="preserve">[</w:t>
      </w:r>
      <w:r>
        <w:t xml:space="preserve"> </w:t>
      </w:r>
      <w:r>
        <w:t xml:space="preserve">_G^{(p)}</w:t>
      </w:r>
      <w:r>
        <w:t xml:space="preserve"> </w:t>
      </w:r>
      <w:r>
        <w:t xml:space="preserve">5{,}9</w:t>
      </w:r>
      <w:r>
        <w:t xml:space="preserve"> </w:t>
      </w:r>
      <w:r>
        <w:t xml:space="preserve">^{-39}</w:t>
      </w:r>
      <w:r>
        <w:t xml:space="preserve"> </w:t>
      </w:r>
      <w:r>
        <w:t xml:space="preserve">]</w:t>
      </w:r>
    </w:p>
    <w:p>
      <w:pPr>
        <w:pStyle w:val="BodyText"/>
      </w:pPr>
      <w:r>
        <w:t xml:space="preserve">Pour deux électrons, on obtient :</w:t>
      </w:r>
    </w:p>
    <w:p>
      <w:pPr>
        <w:pStyle w:val="BodyText"/>
      </w:pPr>
      <w:r>
        <w:t xml:space="preserve">[</w:t>
      </w:r>
      <w:r>
        <w:t xml:space="preserve"> </w:t>
      </w:r>
      <w:r>
        <w:t xml:space="preserve">_G^{(e)}=</w:t>
      </w:r>
      <w:r>
        <w:t xml:space="preserve"> </w:t>
      </w:r>
      <w:r>
        <w:t xml:space="preserve">1{,}75</w:t>
      </w:r>
      <w:r>
        <w:t xml:space="preserve"> </w:t>
      </w:r>
      <w:r>
        <w:t xml:space="preserve">^{-45}</w:t>
      </w:r>
      <w:r>
        <w:t xml:space="preserve"> </w:t>
      </w:r>
      <w:r>
        <w:t xml:space="preserve">]</w:t>
      </w:r>
    </w:p>
    <w:p>
      <w:pPr>
        <w:pStyle w:val="BodyText"/>
      </w:pPr>
      <w:r>
        <w:t xml:space="preserve">Ces nombres montrent l’extrême faiblesse de la gravitation entre particules élémentaires par rapport aux autres interactions à basse énergie.</w:t>
      </w:r>
    </w:p>
    <w:bookmarkEnd w:id="22"/>
    <w:bookmarkStart w:id="23" w:name="statut-dimensionnel-de-g"/>
    <w:p>
      <w:pPr>
        <w:pStyle w:val="Heading2"/>
      </w:pPr>
      <w:r>
        <w:t xml:space="preserve">2. Statut dimensionnel de (G)</w:t>
      </w:r>
    </w:p>
    <w:p>
      <w:pPr>
        <w:pStyle w:val="FirstParagraph"/>
      </w:pPr>
      <w:r>
        <w:t xml:space="preserve">Le cas (G) est méthodologiquement important parce qu’il force la grille à distinguer constante dimensionnée, couplage effectif et rapport physique.</w:t>
      </w:r>
    </w:p>
    <w:p>
      <w:pPr>
        <w:pStyle w:val="BodyText"/>
      </w:pPr>
      <w:r>
        <w:t xml:space="preserve">Dans une théorie quantique des champs ordinaire, les couplages sans dimension, comme (</w:t>
      </w:r>
      <w:r>
        <w:t xml:space="preserve">), (</w:t>
      </w:r>
      <w:r>
        <w:t xml:space="preserve">_s) ou les Yukawa, peuvent être comparés directement comme nombres purs. La gravitation, elle, possède un couplage dimensionné. En unités naturelles, (G) a une dimension inverse d’une énergie au carré :</w:t>
      </w:r>
    </w:p>
    <w:p>
      <w:pPr>
        <w:pStyle w:val="BodyText"/>
      </w:pPr>
      <w:r>
        <w:t xml:space="preserve">[</w:t>
      </w:r>
      <w:r>
        <w:t xml:space="preserve"> </w:t>
      </w:r>
      <w:r>
        <w:t xml:space="preserve">[G]</w:t>
      </w:r>
      <w:r>
        <w:t xml:space="preserve"> </w:t>
      </w:r>
      <w:r>
        <w:t xml:space="preserve">E^{-2}</w:t>
      </w:r>
      <w:r>
        <w:t xml:space="preserve"> </w:t>
      </w:r>
      <w:r>
        <w:t xml:space="preserve">]</w:t>
      </w:r>
    </w:p>
    <w:p>
      <w:pPr>
        <w:pStyle w:val="BodyText"/>
      </w:pPr>
      <w:r>
        <w:t xml:space="preserve">Cela signifie que la force effective de la gravitation dépend fortement de l’échelle d’énergie considérée. Plus l’énergie caractéristique du processus augmente, plus le couplage gravitationnel effectif devient important.</w:t>
      </w:r>
    </w:p>
    <w:p>
      <w:pPr>
        <w:pStyle w:val="BodyText"/>
      </w:pPr>
      <w:r>
        <w:t xml:space="preserve">On peut alors écrire conceptuellement :</w:t>
      </w:r>
    </w:p>
    <w:p>
      <w:pPr>
        <w:pStyle w:val="BodyText"/>
      </w:pPr>
      <w:r>
        <w:t xml:space="preserve">[</w:t>
      </w:r>
      <w:r>
        <w:t xml:space="preserve"> </w:t>
      </w:r>
      <w:r>
        <w:t xml:space="preserve">_G(E)</w:t>
      </w:r>
      <w:r>
        <w:t xml:space="preserve">G E^2</w:t>
      </w:r>
      <w:r>
        <w:t xml:space="preserve"> </w:t>
      </w:r>
      <w:r>
        <w:t xml:space="preserve">]</w:t>
      </w:r>
    </w:p>
    <w:p>
      <w:pPr>
        <w:pStyle w:val="BodyText"/>
      </w:pPr>
      <w:r>
        <w:t xml:space="preserve">ou, avec la masse de Planck :</w:t>
      </w:r>
    </w:p>
    <w:p>
      <w:pPr>
        <w:pStyle w:val="BodyText"/>
      </w:pPr>
      <w:r>
        <w:t xml:space="preserve">[</w:t>
      </w:r>
      <w:r>
        <w:t xml:space="preserve"> </w:t>
      </w:r>
      <w:r>
        <w:t xml:space="preserve">_G(E)</w:t>
      </w:r>
      <w:r>
        <w:t xml:space="preserve">(</w:t>
      </w:r>
      <w:r>
        <w:t xml:space="preserve">)^2</w:t>
      </w:r>
      <w:r>
        <w:t xml:space="preserve"> </w:t>
      </w:r>
      <w:r>
        <w:t xml:space="preserve">]</w:t>
      </w:r>
    </w:p>
    <w:p>
      <w:pPr>
        <w:pStyle w:val="BodyText"/>
      </w:pPr>
      <w:r>
        <w:t xml:space="preserve">Cette formule donne la structure centrale de la fiche : la gravitation devient naturellement lisible comme une interaction dont la force relative dépend de la proximité à l’échelle de Planck.</w:t>
      </w:r>
    </w:p>
    <w:bookmarkEnd w:id="23"/>
    <w:bookmarkStart w:id="24" w:name="X2c715a38bcc011cf43bfc314c698c6a164d7132"/>
    <w:p>
      <w:pPr>
        <w:pStyle w:val="Heading2"/>
      </w:pPr>
      <w:r>
        <w:t xml:space="preserve">3. Masse de Planck et échelle gravitationnelle</w:t>
      </w:r>
    </w:p>
    <w:p>
      <w:pPr>
        <w:pStyle w:val="FirstParagraph"/>
      </w:pPr>
      <w:r>
        <w:t xml:space="preserve">La masse de Planck est définie par :</w:t>
      </w:r>
    </w:p>
    <w:p>
      <w:pPr>
        <w:pStyle w:val="BodyText"/>
      </w:pPr>
      <w:r>
        <w:t xml:space="preserve">[</w:t>
      </w:r>
      <w:r>
        <w:t xml:space="preserve"> </w:t>
      </w:r>
      <w:r>
        <w:t xml:space="preserve">M_{</w:t>
      </w:r>
      <w:r>
        <w:t xml:space="preserve">} =</w:t>
      </w:r>
      <w:r>
        <w:t xml:space="preserve"> </w:t>
      </w:r>
      <w:r>
        <w:t xml:space="preserve"> </w:t>
      </w:r>
      <w:r>
        <w:t xml:space="preserve">]</w:t>
      </w:r>
    </w:p>
    <w:p>
      <w:pPr>
        <w:pStyle w:val="BodyText"/>
      </w:pPr>
      <w:r>
        <w:t xml:space="preserve">dans la convention non réduite. Elle vaut environ :</w:t>
      </w:r>
    </w:p>
    <w:p>
      <w:pPr>
        <w:pStyle w:val="BodyText"/>
      </w:pPr>
      <w:r>
        <w:t xml:space="preserve">[</w:t>
      </w:r>
      <w:r>
        <w:t xml:space="preserve"> </w:t>
      </w:r>
      <w:r>
        <w:t xml:space="preserve">M_{</w:t>
      </w:r>
      <w:r>
        <w:t xml:space="preserve">}</w:t>
      </w:r>
      <w:r>
        <w:t xml:space="preserve"> </w:t>
      </w:r>
      <w:r>
        <w:t xml:space="preserve">176</w:t>
      </w:r>
      <w:r>
        <w:t xml:space="preserve"> </w:t>
      </w:r>
      <w:r>
        <w:t xml:space="preserve">^{-8} </w:t>
      </w:r>
      <w:r>
        <w:t xml:space="preserve"> </w:t>
      </w:r>
      <w:r>
        <w:t xml:space="preserve">]</w:t>
      </w:r>
    </w:p>
    <w:p>
      <w:pPr>
        <w:pStyle w:val="BodyText"/>
      </w:pPr>
      <w:r>
        <w:t xml:space="preserve">ou, en énergie :</w:t>
      </w:r>
    </w:p>
    <w:p>
      <w:pPr>
        <w:pStyle w:val="BodyText"/>
      </w:pPr>
      <w:r>
        <w:t xml:space="preserve">[</w:t>
      </w:r>
      <w:r>
        <w:t xml:space="preserve"> </w:t>
      </w:r>
      <w:r>
        <w:t xml:space="preserve">M_{</w:t>
      </w:r>
      <w:r>
        <w:t xml:space="preserve">}c^2</w:t>
      </w:r>
      <w:r>
        <w:t xml:space="preserve"> </w:t>
      </w:r>
      <w:r>
        <w:t xml:space="preserve">22</w:t>
      </w:r>
      <w:r>
        <w:t xml:space="preserve"> </w:t>
      </w:r>
      <w:r>
        <w:t xml:space="preserve">^{19} </w:t>
      </w:r>
      <w:r>
        <w:t xml:space="preserve"> </w:t>
      </w:r>
      <w:r>
        <w:t xml:space="preserve">]</w:t>
      </w:r>
    </w:p>
    <w:p>
      <w:pPr>
        <w:pStyle w:val="BodyText"/>
      </w:pPr>
      <w:r>
        <w:t xml:space="preserve">Le couplage gravitationnel sans dimension associé à une masse (m) peut alors s’écrire :</w:t>
      </w:r>
    </w:p>
    <w:p>
      <w:pPr>
        <w:pStyle w:val="BodyText"/>
      </w:pPr>
      <w:r>
        <w:t xml:space="preserve">[</w:t>
      </w:r>
      <w:r>
        <w:t xml:space="preserve"> </w:t>
      </w:r>
      <w:r>
        <w:t xml:space="preserve">_G(m)=</w:t>
      </w:r>
      <w:r>
        <w:t xml:space="preserve">(</w:t>
      </w:r>
      <w:r>
        <w:t xml:space="preserve">)^2</w:t>
      </w:r>
      <w:r>
        <w:t xml:space="preserve"> </w:t>
      </w:r>
      <w:r>
        <w:t xml:space="preserve">]</w:t>
      </w:r>
    </w:p>
    <w:p>
      <w:pPr>
        <w:pStyle w:val="BodyText"/>
      </w:pPr>
      <w:r>
        <w:t xml:space="preserve">Cette relation fait apparaître le point décisif : ce que nous appelons</w:t>
      </w:r>
      <w:r>
        <w:t xml:space="preserve"> </w:t>
      </w:r>
      <w:r>
        <w:t xml:space="preserve">“faiblesse de la gravitation”</w:t>
      </w:r>
      <w:r>
        <w:t xml:space="preserve"> </w:t>
      </w:r>
      <w:r>
        <w:t xml:space="preserve">dans le monde des particules est l’écart immense entre les masses des particules ordinaires et la masse de Planck.</w:t>
      </w:r>
    </w:p>
    <w:p>
      <w:pPr>
        <w:pStyle w:val="BodyText"/>
      </w:pPr>
      <w:r>
        <w:t xml:space="preserve">Dans notre grille, (M_{</w:t>
      </w:r>
      <w:r>
        <w:t xml:space="preserve">}) fonctionne donc comme une échelle de comparaison gravitationnelle. Elle ne décrit pas seulement une valeur ; elle marque le seuil conceptuel où les effets quantiques de la gravitation cessent d’être négligeables dans une description effective basse énergie.</w:t>
      </w:r>
    </w:p>
    <w:bookmarkEnd w:id="24"/>
    <w:bookmarkStart w:id="26" w:name="Xe2d2d246cd3cca4f1d3a79dff84d201aac7439a"/>
    <w:p>
      <w:pPr>
        <w:pStyle w:val="Heading2"/>
      </w:pPr>
      <w:r>
        <w:t xml:space="preserve">4. Gravitation comme interaction effective basse énergie</w:t>
      </w:r>
    </w:p>
    <w:p>
      <w:pPr>
        <w:pStyle w:val="FirstParagraph"/>
      </w:pPr>
      <w:r>
        <w:t xml:space="preserve">La relativité générale fonctionne remarquablement bien comme théorie classique de la gravitation. Mais lorsqu’on tente de la traiter perturbativement comme une théorie quantique des champs ordinaire, le caractère dimensionné de (G) indique que la théorie n’est pas renormalisable au même sens que QED ou QCD.</w:t>
      </w:r>
    </w:p>
    <w:p>
      <w:pPr>
        <w:pStyle w:val="BodyText"/>
      </w:pPr>
      <w:r>
        <w:t xml:space="preserve">Cela ne signifie pas que la relativité générale est inutilisable en contexte quantique. Donoghue rappelle que la relativité générale peut être traitée comme une théorie effective des champs à basse énergie : elle permet de calculer des effets quantiques gravitationnels tant que l’on reste très loin de l’échelle de Planck. (</w:t>
      </w:r>
      <w:hyperlink r:id="rId25">
        <w:r>
          <w:rPr>
            <w:rStyle w:val="Hyperlink"/>
          </w:rPr>
          <w:t xml:space="preserve">arxiv.org</w:t>
        </w:r>
      </w:hyperlink>
      <w:r>
        <w:t xml:space="preserve">)</w:t>
      </w:r>
    </w:p>
    <w:p>
      <w:pPr>
        <w:pStyle w:val="BodyText"/>
      </w:pPr>
      <w:r>
        <w:t xml:space="preserve">Ce point est fondamental pour notre enquête. La gravitation basse énergie n’est pas seulement une interaction faible ; c’est un régime effectif extrêmement stable. Le couplage gravitationnel est minuscule aux échelles atomiques, nucléaires ou même électrofaibles, parce que ces échelles sont très inférieures à (M_{</w:t>
      </w:r>
      <w:r>
        <w:t xml:space="preserve">}).</w:t>
      </w:r>
    </w:p>
    <w:p>
      <w:pPr>
        <w:pStyle w:val="BodyText"/>
      </w:pPr>
      <w:r>
        <w:t xml:space="preserve">La fiche gravitation introduit donc une catégorie différente de celles rencontrées jusque-là : une constante dont la faiblesse observable dépend d’une hiérarchie d’échelle.</w:t>
      </w:r>
    </w:p>
    <w:bookmarkEnd w:id="26"/>
    <w:bookmarkStart w:id="27" w:name="rapport-avec-les-fiches-précédentes"/>
    <w:p>
      <w:pPr>
        <w:pStyle w:val="Heading2"/>
      </w:pPr>
      <w:r>
        <w:t xml:space="preserve">5. Rapport avec les fiches précédentes</w:t>
      </w:r>
    </w:p>
    <w:p>
      <w:pPr>
        <w:pStyle w:val="FirstParagraph"/>
      </w:pPr>
      <w:r>
        <w:t xml:space="preserve">La fiche (</w:t>
      </w:r>
      <w:r>
        <w:t xml:space="preserve">) avait montré qu’un couplage sans dimension peut être stable dans le régime électromagnétique basse énergie tout en dépendant de l’échelle comme couplage courant.</w:t>
      </w:r>
    </w:p>
    <w:p>
      <w:pPr>
        <w:pStyle w:val="BodyText"/>
      </w:pPr>
      <w:r>
        <w:t xml:space="preserve">La fiche (</w:t>
      </w:r>
      <w:r>
        <w:rPr>
          <w:i/>
          <w:iCs/>
        </w:rPr>
        <w:t xml:space="preserve">s /</w:t>
      </w:r>
      <w:r>
        <w:rPr>
          <w:i/>
          <w:iCs/>
        </w:rPr>
        <w:t xml:space="preserve"> </w:t>
      </w:r>
      <w:r>
        <w:t xml:space="preserve">{</w:t>
      </w:r>
      <w:r>
        <w:t xml:space="preserve">}) avait montré qu’un couplage peut changer fortement avec l’échelle et produire un régime confiné autour d’une échelle dynamique.</w:t>
      </w:r>
    </w:p>
    <w:p>
      <w:pPr>
        <w:pStyle w:val="BodyText"/>
      </w:pPr>
      <w:r>
        <w:t xml:space="preserve">La fiche (</w:t>
      </w:r>
      <w:r>
        <w:rPr>
          <w:i/>
          <w:iCs/>
        </w:rPr>
        <w:t xml:space="preserve">G / M</w:t>
      </w:r>
      <w:r>
        <w:t xml:space="preserve">{</w:t>
      </w:r>
      <w:r>
        <w:t xml:space="preserve">}) ajoute une autre structure : la gravitation est associée à un couplage dimensionné dont la forme sans dimension dépend du rapport entre l’énergie du processus et l’échelle de Planck.</w:t>
      </w:r>
    </w:p>
    <w:p>
      <w:pPr>
        <w:pStyle w:val="BodyText"/>
      </w:pPr>
      <w:r>
        <w:t xml:space="preserve">La différence est importante. Pour QCD, la dépendance d’échelle conduit au confinement à basse énergie. Pour la gravitation, la force effective devient significative à très haute énergie, lorsque l’échelle du processus approche (M_{</w:t>
      </w:r>
      <w:r>
        <w:t xml:space="preserve">}). Le régime basse énergie est donc un régime de suppression gravitationnelle.</w:t>
      </w:r>
    </w:p>
    <w:bookmarkEnd w:id="27"/>
    <w:bookmarkStart w:id="28" w:name="X79104f37b69a560b478eab5ff4d67e0eba676d2"/>
    <w:p>
      <w:pPr>
        <w:pStyle w:val="Heading2"/>
      </w:pPr>
      <w:r>
        <w:t xml:space="preserve">6. Couplage gravitationnel et hiérarchie des interactions</w:t>
      </w:r>
    </w:p>
    <w:p>
      <w:pPr>
        <w:pStyle w:val="FirstParagraph"/>
      </w:pPr>
      <w:r>
        <w:t xml:space="preserve">Le couplage gravitationnel entre deux protons :</w:t>
      </w:r>
    </w:p>
    <w:p>
      <w:pPr>
        <w:pStyle w:val="BodyText"/>
      </w:pPr>
      <w:r>
        <w:t xml:space="preserve">[</w:t>
      </w:r>
      <w:r>
        <w:t xml:space="preserve"> </w:t>
      </w:r>
      <w:r>
        <w:t xml:space="preserve">_G</w:t>
      </w:r>
      <w:r>
        <w:rPr>
          <w:vertAlign w:val="superscript"/>
        </w:rPr>
        <w:t xml:space="preserve">{(p)}</w:t>
      </w:r>
      <w:r>
        <w:rPr>
          <w:vertAlign w:val="superscript"/>
        </w:rPr>
        <w:t xml:space="preserve">5{,}9</w:t>
      </w:r>
      <w:r>
        <w:t xml:space="preserve">{-39}</w:t>
      </w:r>
      <w:r>
        <w:t xml:space="preserve"> </w:t>
      </w:r>
      <w:r>
        <w:t xml:space="preserve">]</w:t>
      </w:r>
    </w:p>
    <w:p>
      <w:pPr>
        <w:pStyle w:val="BodyText"/>
      </w:pPr>
      <w:r>
        <w:t xml:space="preserve">est extrêmement petit. Cette valeur peut être comparée à la constante de structure fine :</w:t>
      </w:r>
    </w:p>
    <w:p>
      <w:pPr>
        <w:pStyle w:val="BodyText"/>
      </w:pPr>
      <w:r>
        <w:t xml:space="preserve">[</w:t>
      </w:r>
      <w:r>
        <w:t xml:space="preserve"> </w:t>
      </w:r>
      <w:r>
        <w:t xml:space="preserve">3</w:t>
      </w:r>
      <w:r>
        <w:t xml:space="preserve">^{-3}</w:t>
      </w:r>
      <w:r>
        <w:t xml:space="preserve"> </w:t>
      </w:r>
      <w:r>
        <w:t xml:space="preserve">]</w:t>
      </w:r>
    </w:p>
    <w:p>
      <w:pPr>
        <w:pStyle w:val="BodyText"/>
      </w:pPr>
      <w:r>
        <w:t xml:space="preserve">La comparaison indique que, pour des particules élémentaires ordinaires, la gravitation est négligeable face à l’électromagnétisme. Mais cette faiblesse n’est pas une faiblesse absolue dans tous les régimes. Elle dépend des masses, des énergies et de la situation physique.</w:t>
      </w:r>
    </w:p>
    <w:p>
      <w:pPr>
        <w:pStyle w:val="BodyText"/>
      </w:pPr>
      <w:r>
        <w:t xml:space="preserve">À l’échelle macroscopique, la gravitation domine souvent parce que les masses s’additionnent et que la matière ordinaire est globalement électriquement neutre. À l’échelle microscopique, elle est extrêmement faible. À l’approche de l’échelle de Planck, elle devient structurellement incontournable.</w:t>
      </w:r>
    </w:p>
    <w:p>
      <w:pPr>
        <w:pStyle w:val="BodyText"/>
      </w:pPr>
      <w:r>
        <w:t xml:space="preserve">La gravitation impose donc une lecture multi-échelle : une même interaction peut être négligeable dans un régime, dominante dans un autre, et probablement non traitable par les mêmes outils près de son échelle propre.</w:t>
      </w:r>
    </w:p>
    <w:bookmarkEnd w:id="28"/>
    <w:bookmarkStart w:id="30" w:name="tests-de-stabilité-et-variation-de-g"/>
    <w:p>
      <w:pPr>
        <w:pStyle w:val="Heading2"/>
      </w:pPr>
      <w:r>
        <w:t xml:space="preserve">7. Tests de stabilité et variation de (G)</w:t>
      </w:r>
    </w:p>
    <w:p>
      <w:pPr>
        <w:pStyle w:val="FirstParagraph"/>
      </w:pPr>
      <w:r>
        <w:t xml:space="preserve">La variation éventuelle de (G) est une question délicate, parce que (G) est dimensionnée. Comme pour les autres constantes dimensionnées, le contenu physique robuste doit être formulé à travers des rapports ou des paramètres observables.</w:t>
      </w:r>
    </w:p>
    <w:p>
      <w:pPr>
        <w:pStyle w:val="BodyText"/>
      </w:pPr>
      <w:r>
        <w:t xml:space="preserve">Uzan souligne que les tests de variation des constantes doivent être reliés à des grandeurs sans dimension et que toute variation de constantes physiques signalerait une violation de l’invariance de position locale, avec des liens possibles au principe d’équivalence et à de nouveaux champs couplés à la matière. (</w:t>
      </w:r>
      <w:hyperlink r:id="rId29">
        <w:r>
          <w:rPr>
            <w:rStyle w:val="Hyperlink"/>
          </w:rPr>
          <w:t xml:space="preserve">arxiv.org</w:t>
        </w:r>
      </w:hyperlink>
      <w:r>
        <w:t xml:space="preserve">)</w:t>
      </w:r>
    </w:p>
    <w:p>
      <w:pPr>
        <w:pStyle w:val="BodyText"/>
      </w:pPr>
      <w:r>
        <w:t xml:space="preserve">Dans le cas gravitationnel, les observations pertinentes incluent les tests du principe d’équivalence, les mesures de dynamique planétaire, les pulsars binaires, la cosmologie et les contraintes sur d’éventuelles théories scalaires-tensorielles. Mais pour notre enquête, l’enjeu immédiat n’est pas de dresser tout le catalogue observationnel. Il est de poser correctement le statut de la grandeur : (G) seul est dimensionné ; (</w:t>
      </w:r>
      <w:r>
        <w:rPr>
          <w:i/>
          <w:iCs/>
        </w:rPr>
        <w:t xml:space="preserve">G), (m/M</w:t>
      </w:r>
      <w:r>
        <w:t xml:space="preserve">{</w:t>
      </w:r>
      <w:r>
        <w:t xml:space="preserve">}) ou des combinaisons cosmologiques sans dimension sont les objets conceptuellement plus propres.</w:t>
      </w:r>
    </w:p>
    <w:bookmarkEnd w:id="30"/>
    <w:bookmarkStart w:id="31" w:name="X08de553b9aa0a801f4a846909bbfb90935528a5"/>
    <w:p>
      <w:pPr>
        <w:pStyle w:val="Heading2"/>
      </w:pPr>
      <w:r>
        <w:t xml:space="preserve">8. Lecture par la grille des constantes effectives stabilisées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Critère</w:t>
            </w:r>
          </w:p>
        </w:tc>
        <w:tc>
          <w:tcPr/>
          <w:p>
            <w:pPr>
              <w:pStyle w:val="Compact"/>
            </w:pPr>
            <w:r>
              <w:t xml:space="preserve">Lecture pour (</w:t>
            </w:r>
            <w:r>
              <w:rPr>
                <w:i/>
                <w:iCs/>
              </w:rPr>
              <w:t xml:space="preserve">G / M</w:t>
            </w:r>
            <w:r>
              <w:t xml:space="preserve">{</w:t>
            </w:r>
            <w:r>
              <w:t xml:space="preserve">})</w:t>
            </w:r>
          </w:p>
        </w:tc>
      </w:tr>
      <w:tr>
        <w:tc>
          <w:tcPr/>
          <w:p>
            <w:pPr>
              <w:pStyle w:val="Compact"/>
            </w:pPr>
            <w:r>
              <w:t xml:space="preserve">Grandeur dimensionnée de départ</w:t>
            </w:r>
          </w:p>
        </w:tc>
        <w:tc>
          <w:tcPr/>
          <w:p>
            <w:pPr>
              <w:pStyle w:val="Compact"/>
            </w:pPr>
            <w:r>
              <w:t xml:space="preserve">(G)</w:t>
            </w:r>
          </w:p>
        </w:tc>
      </w:tr>
      <w:tr>
        <w:tc>
          <w:tcPr/>
          <w:p>
            <w:pPr>
              <w:pStyle w:val="Compact"/>
            </w:pPr>
            <w:r>
              <w:t xml:space="preserve">Grandeur sans dimension associée</w:t>
            </w:r>
          </w:p>
        </w:tc>
        <w:tc>
          <w:tcPr/>
          <w:p>
            <w:pPr>
              <w:pStyle w:val="Compact"/>
            </w:pPr>
            <w:r>
              <w:t xml:space="preserve">(</w:t>
            </w:r>
            <w:r>
              <w:t xml:space="preserve">_G(m)=Gm^2/</w:t>
            </w:r>
            <w:r>
              <w:t xml:space="preserve">c)</w:t>
            </w:r>
          </w:p>
        </w:tc>
      </w:tr>
      <w:tr>
        <w:tc>
          <w:tcPr/>
          <w:p>
            <w:pPr>
              <w:pStyle w:val="Compact"/>
            </w:pPr>
            <w:r>
              <w:t xml:space="preserve">Échelle associée</w:t>
            </w:r>
          </w:p>
        </w:tc>
        <w:tc>
          <w:tcPr/>
          <w:p>
            <w:pPr>
              <w:pStyle w:val="Compact"/>
            </w:pPr>
            <w:r>
              <w:t xml:space="preserve">(M_{</w:t>
            </w:r>
            <w:r>
              <w:t xml:space="preserve">}=</w:t>
            </w:r>
            <w:r>
              <w:t xml:space="preserve">)</w:t>
            </w:r>
          </w:p>
        </w:tc>
      </w:tr>
      <w:tr>
        <w:tc>
          <w:tcPr/>
          <w:p>
            <w:pPr>
              <w:pStyle w:val="Compact"/>
            </w:pPr>
            <w:r>
              <w:t xml:space="preserve">Valeur protonique</w:t>
            </w:r>
          </w:p>
        </w:tc>
        <w:tc>
          <w:tcPr/>
          <w:p>
            <w:pPr>
              <w:pStyle w:val="Compact"/>
            </w:pPr>
            <w:r>
              <w:t xml:space="preserve">(</w:t>
            </w:r>
            <w:r>
              <w:t xml:space="preserve">_G</w:t>
            </w:r>
            <w:r>
              <w:rPr>
                <w:vertAlign w:val="superscript"/>
              </w:rPr>
              <w:t xml:space="preserve">{(p)}</w:t>
            </w:r>
            <w:r>
              <w:rPr>
                <w:vertAlign w:val="superscript"/>
              </w:rPr>
              <w:t xml:space="preserve">5{,}9</w:t>
            </w:r>
            <w:r>
              <w:t xml:space="preserve">{-39})</w:t>
            </w:r>
          </w:p>
        </w:tc>
      </w:tr>
      <w:tr>
        <w:tc>
          <w:tcPr/>
          <w:p>
            <w:pPr>
              <w:pStyle w:val="Compact"/>
            </w:pPr>
            <w:r>
              <w:t xml:space="preserve">Valeur électronique</w:t>
            </w:r>
          </w:p>
        </w:tc>
        <w:tc>
          <w:tcPr/>
          <w:p>
            <w:pPr>
              <w:pStyle w:val="Compact"/>
            </w:pPr>
            <w:r>
              <w:t xml:space="preserve">(</w:t>
            </w:r>
            <w:r>
              <w:t xml:space="preserve">_G</w:t>
            </w:r>
            <w:r>
              <w:rPr>
                <w:vertAlign w:val="superscript"/>
              </w:rPr>
              <w:t xml:space="preserve">{(e)}</w:t>
            </w:r>
            <w:r>
              <w:rPr>
                <w:vertAlign w:val="superscript"/>
              </w:rPr>
              <w:t xml:space="preserve">1{,}75</w:t>
            </w:r>
            <w:r>
              <w:t xml:space="preserve">{-45})</w:t>
            </w:r>
          </w:p>
        </w:tc>
      </w:tr>
      <w:tr>
        <w:tc>
          <w:tcPr/>
          <w:p>
            <w:pPr>
              <w:pStyle w:val="Compact"/>
            </w:pPr>
            <w:r>
              <w:t xml:space="preserve">Statut physique</w:t>
            </w:r>
          </w:p>
        </w:tc>
        <w:tc>
          <w:tcPr/>
          <w:p>
            <w:pPr>
              <w:pStyle w:val="Compact"/>
            </w:pPr>
            <w:r>
              <w:t xml:space="preserve">Couplage gravitationnel effectif indexé à une masse ou une énergie</w:t>
            </w:r>
          </w:p>
        </w:tc>
      </w:tr>
      <w:tr>
        <w:tc>
          <w:tcPr/>
          <w:p>
            <w:pPr>
              <w:pStyle w:val="Compact"/>
            </w:pPr>
            <w:r>
              <w:t xml:space="preserve">Régime basse énergie</w:t>
            </w:r>
          </w:p>
        </w:tc>
        <w:tc>
          <w:tcPr/>
          <w:p>
            <w:pPr>
              <w:pStyle w:val="Compact"/>
            </w:pPr>
            <w:r>
              <w:t xml:space="preserve">Gravitation quantique négligeable, relativité générale effective</w:t>
            </w:r>
          </w:p>
        </w:tc>
      </w:tr>
      <w:tr>
        <w:tc>
          <w:tcPr/>
          <w:p>
            <w:pPr>
              <w:pStyle w:val="Compact"/>
            </w:pPr>
            <w:r>
              <w:t xml:space="preserve">Régime haute énergie</w:t>
            </w:r>
          </w:p>
        </w:tc>
        <w:tc>
          <w:tcPr/>
          <w:p>
            <w:pPr>
              <w:pStyle w:val="Compact"/>
            </w:pPr>
            <w:r>
              <w:t xml:space="preserve">Gravitation quantique attendue près de (M_{</w:t>
            </w:r>
            <w:r>
              <w:t xml:space="preserve">})</w:t>
            </w:r>
          </w:p>
        </w:tc>
      </w:tr>
      <w:tr>
        <w:tc>
          <w:tcPr/>
          <w:p>
            <w:pPr>
              <w:pStyle w:val="Compact"/>
            </w:pPr>
            <w:r>
              <w:t xml:space="preserve">Question centrale</w:t>
            </w:r>
          </w:p>
        </w:tc>
        <w:tc>
          <w:tcPr/>
          <w:p>
            <w:pPr>
              <w:pStyle w:val="Compact"/>
            </w:pPr>
            <w:r>
              <w:t xml:space="preserve">Comment formuler la constance gravitationnelle sans confondre (G) dimensionné et couplage physique sans dimension ?</w:t>
            </w:r>
          </w:p>
        </w:tc>
      </w:tr>
    </w:tbl>
    <w:bookmarkEnd w:id="31"/>
    <w:bookmarkStart w:id="32" w:name="formulation-provisoire"/>
    <w:p>
      <w:pPr>
        <w:pStyle w:val="Heading2"/>
      </w:pPr>
      <w:r>
        <w:t xml:space="preserve">9. Formulation provisoire</w:t>
      </w:r>
    </w:p>
    <w:p>
      <w:pPr>
        <w:pStyle w:val="FirstParagraph"/>
      </w:pPr>
      <w:r>
        <w:t xml:space="preserve">Le cas gravitationnel peut être compris comme une constante de hiérarchie d’échelle. (G) seul est une constante dimensionnée ; son contenu physique devient plus clair lorsqu’il est reformulé à travers (</w:t>
      </w:r>
      <w:r>
        <w:rPr>
          <w:i/>
          <w:iCs/>
        </w:rPr>
        <w:t xml:space="preserve">G), (m/M</w:t>
      </w:r>
      <w:r>
        <w:t xml:space="preserve">{</w:t>
      </w:r>
      <w:r>
        <w:t xml:space="preserve">}) ou (E/M_{</w:t>
      </w:r>
      <w:r>
        <w:t xml:space="preserve">}). La constance gravitationnelle basse énergie désigne alors la stabilité d’un régime où les énergies ordinaires sont extrêmement éloignées de l’échelle de Planck.</w:t>
      </w:r>
    </w:p>
    <w:p>
      <w:pPr>
        <w:pStyle w:val="BodyText"/>
      </w:pPr>
      <w:r>
        <w:t xml:space="preserve">La question pertinente devient donc :</w:t>
      </w:r>
    </w:p>
    <w:p>
      <w:pPr>
        <w:pStyle w:val="BodyText"/>
      </w:pPr>
      <w:r>
        <w:rPr>
          <w:b/>
          <w:bCs/>
        </w:rPr>
        <w:t xml:space="preserve">À quelles conditions la gravitation peut-elle être traitée comme une interaction à constante stabilisée, alors que son couplage naturel est dimensionné et que sa force effective dépend du rapport entre l’énergie du processus et l’échelle de Planck ?</w:t>
      </w:r>
    </w:p>
    <w:bookmarkEnd w:id="32"/>
    <w:bookmarkStart w:id="33" w:name="X26ce6ccc34ddb298f9b279c2893ef37e6145b39"/>
    <w:p>
      <w:pPr>
        <w:pStyle w:val="Heading2"/>
      </w:pPr>
      <w:r>
        <w:t xml:space="preserve">10. Fonction de cette fiche dans l’enquête générale</w:t>
      </w:r>
    </w:p>
    <w:p>
      <w:pPr>
        <w:pStyle w:val="FirstParagraph"/>
      </w:pPr>
      <w:r>
        <w:t xml:space="preserve">La fiche (</w:t>
      </w:r>
      <w:r>
        <w:rPr>
          <w:i/>
          <w:iCs/>
        </w:rPr>
        <w:t xml:space="preserve">G / M</w:t>
      </w:r>
      <w:r>
        <w:t xml:space="preserve">{</w:t>
      </w:r>
      <w:r>
        <w:t xml:space="preserve">}) ajoute une nouvelle catégorie à la typologie :</w:t>
      </w:r>
    </w:p>
    <w:p>
      <w:pPr>
        <w:pStyle w:val="BodyText"/>
      </w:pPr>
      <w:r>
        <w:rPr>
          <w:b/>
          <w:bCs/>
        </w:rPr>
        <w:t xml:space="preserve">constante de hiérarchie d’échelle.</w:t>
      </w:r>
    </w:p>
    <w:p>
      <w:pPr>
        <w:pStyle w:val="BodyText"/>
      </w:pPr>
      <w:r>
        <w:t xml:space="preserve">Cette catégorie désigne une grandeur dont le statut de constance dépend d’un écart structurel entre l’échelle d’un régime physique et une échelle de référence plus profonde. Dans le cas gravitationnel, la physique basse énergie est stabilisée par l’immense séparation entre les masses ordinaires et la masse de Planck.</w:t>
      </w:r>
    </w:p>
    <w:p>
      <w:pPr>
        <w:pStyle w:val="BodyText"/>
      </w:pPr>
      <w:r>
        <w:t xml:space="preserve">Cette fiche prépare deux suites possibles. La première serait une fiche sur les constantes cosmologiques sans dimension, en particulier la densité d’énergie noire rapportée à l’échelle de Planck. La seconde serait une fiche sur la constante de Fermi (G_F), autre couplage dimensionné qui devient lisible comme trace basse énergie d’un régime plus profond.</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arxiv.org/abs/2211.09902" TargetMode="External" /><Relationship Type="http://schemas.openxmlformats.org/officeDocument/2006/relationships/hyperlink" Id="rId21" Target="https://arxiv.org/abs/2409.03787" TargetMode="External" /><Relationship Type="http://schemas.openxmlformats.org/officeDocument/2006/relationships/hyperlink" Id="rId29" Target="https://arxiv.org/abs/2410.07281" TargetMode="External" /></Relationships>
</file>

<file path=word/_rels/footnotes.xml.rels><?xml version="1.0" encoding="UTF-8"?><Relationships xmlns="http://schemas.openxmlformats.org/package/2006/relationships"><Relationship Type="http://schemas.openxmlformats.org/officeDocument/2006/relationships/hyperlink" Id="rId25" Target="https://arxiv.org/abs/2211.09902" TargetMode="External" /><Relationship Type="http://schemas.openxmlformats.org/officeDocument/2006/relationships/hyperlink" Id="rId21" Target="https://arxiv.org/abs/2409.03787" TargetMode="External" /><Relationship Type="http://schemas.openxmlformats.org/officeDocument/2006/relationships/hyperlink" Id="rId29" Target="https://arxiv.org/abs/2410.0728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2026-07-08T17:48:45Z</dcterms:created>
  <dcterms:modified xsi:type="dcterms:W3CDTF">2026-07-08T17:48:45Z</dcterms:modified>
</cp:coreProperties>
</file>

<file path=docProps/custom.xml><?xml version="1.0" encoding="utf-8"?>
<Properties xmlns="http://schemas.openxmlformats.org/officeDocument/2006/custom-properties" xmlns:vt="http://schemas.openxmlformats.org/officeDocument/2006/docPropsVTypes"/>
</file>