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iche-_-v0.1"/>
    <w:p>
      <w:pPr>
        <w:pStyle w:val="Heading1"/>
      </w:pPr>
      <w:r>
        <w:t xml:space="preserve">Fiche (</w:t>
      </w:r>
      <w:r>
        <w:t xml:space="preserve">_{</w:t>
      </w:r>
      <w:r>
        <w:t xml:space="preserve">}) v0.1</w:t>
      </w:r>
    </w:p>
    <w:bookmarkStart w:id="20" w:name="X90836630eef7d8a2deba8edca28da9470179b24"/>
    <w:p>
      <w:pPr>
        <w:pStyle w:val="Heading2"/>
      </w:pPr>
      <w:r>
        <w:t xml:space="preserve">Phase CP leptonique et asymétrie neutrino/antineutrino dans le régime oscillatoire</w:t>
      </w:r>
    </w:p>
    <w:bookmarkEnd w:id="20"/>
    <w:bookmarkStart w:id="21" w:name="identification"/>
    <w:p>
      <w:pPr>
        <w:pStyle w:val="Heading2"/>
      </w:pPr>
      <w:r>
        <w:t xml:space="preserve">1. Identification</w:t>
      </w:r>
    </w:p>
    <w:p>
      <w:pPr>
        <w:pStyle w:val="FirstParagraph"/>
      </w:pPr>
      <w:r>
        <w:t xml:space="preserve">La phase (</w:t>
      </w:r>
      <w:r>
        <w:t xml:space="preserve">_{</w:t>
      </w:r>
      <w:r>
        <w:t xml:space="preserve">}) est la phase complexe de type Dirac qui apparaît dans la matrice PMNS du secteur neutrino à trois saveurs. Elle intervient dans la relation entre états de saveur :</w:t>
      </w:r>
    </w:p>
    <w:p>
      <w:pPr>
        <w:pStyle w:val="BodyText"/>
      </w:pPr>
      <w:r>
        <w:t xml:space="preserve">[</w:t>
      </w:r>
      <w:r>
        <w:br/>
      </w:r>
      <w:r>
        <w:t xml:space="preserve">_e,</w:t>
      </w:r>
      <w:r>
        <w:t xml:space="preserve">_</w:t>
      </w:r>
      <w:r>
        <w:t xml:space="preserve">,</w:t>
      </w:r>
      <w:r>
        <w:t xml:space="preserve">_</w:t>
      </w:r>
      <w:r>
        <w:br/>
      </w:r>
      <w:r>
        <w:t xml:space="preserve">]</w:t>
      </w:r>
    </w:p>
    <w:p>
      <w:pPr>
        <w:pStyle w:val="BodyText"/>
      </w:pPr>
      <w:r>
        <w:t xml:space="preserve">et états de masse :</w:t>
      </w:r>
    </w:p>
    <w:p>
      <w:pPr>
        <w:pStyle w:val="BodyText"/>
      </w:pPr>
      <w:r>
        <w:t xml:space="preserve">[</w:t>
      </w:r>
      <w:r>
        <w:br/>
      </w:r>
      <w:r>
        <w:t xml:space="preserve">_1,</w:t>
      </w:r>
      <w:r>
        <w:t xml:space="preserve">_2,</w:t>
      </w:r>
      <w:r>
        <w:t xml:space="preserve">_3</w:t>
      </w:r>
      <w:r>
        <w:br/>
      </w:r>
      <w:r>
        <w:t xml:space="preserve">]</w:t>
      </w:r>
    </w:p>
    <w:p>
      <w:pPr>
        <w:pStyle w:val="BodyText"/>
      </w:pPr>
      <w:r>
        <w:t xml:space="preserve">Dans la paramétrisation standard, la matrice PMNS s’écrit comme un produit de rotations, avec une phase complexe insérée dans le secteur (1-3) :</w:t>
      </w:r>
    </w:p>
    <w:p>
      <w:pPr>
        <w:pStyle w:val="BodyText"/>
      </w:pPr>
      <w:r>
        <w:t xml:space="preserve">[</w:t>
      </w:r>
      <w:r>
        <w:br/>
      </w:r>
      <w:r>
        <w:t xml:space="preserve">U =</w:t>
      </w:r>
      <w:r>
        <w:br/>
      </w:r>
      <w:r>
        <w:t xml:space="preserve">R_{23}(</w:t>
      </w:r>
      <w:r>
        <w:t xml:space="preserve">_{23})</w:t>
      </w:r>
      <w:r>
        <w:br/>
      </w:r>
      <w:r>
        <w:t xml:space="preserve">,U_{13}(</w:t>
      </w:r>
      <w:r>
        <w:t xml:space="preserve">_{13},</w:t>
      </w:r>
      <w:r>
        <w:t xml:space="preserve">_{</w:t>
      </w:r>
      <w:r>
        <w:t xml:space="preserve">})</w:t>
      </w:r>
      <w:r>
        <w:br/>
      </w:r>
      <w:r>
        <w:t xml:space="preserve">,R_{12}(</w:t>
      </w:r>
      <w:r>
        <w:t xml:space="preserve">_{12})</w:t>
      </w:r>
      <w:r>
        <w:br/>
      </w:r>
      <w:r>
        <w:t xml:space="preserve">]</w:t>
      </w:r>
    </w:p>
    <w:p>
      <w:pPr>
        <w:pStyle w:val="BodyText"/>
      </w:pPr>
      <w:r>
        <w:t xml:space="preserve">où le bloc (U_{13}) contient des termes du type :</w:t>
      </w:r>
    </w:p>
    <w:p>
      <w:pPr>
        <w:pStyle w:val="BodyText"/>
      </w:pPr>
      <w:r>
        <w:t xml:space="preserve">[</w:t>
      </w:r>
      <w:r>
        <w:br/>
      </w:r>
      <w:r>
        <w:t xml:space="preserve">s_{13}e^{-i</w:t>
      </w:r>
      <w:r>
        <w:t xml:space="preserve">_{</w:t>
      </w:r>
      <w:r>
        <w:t xml:space="preserve">}}</w:t>
      </w:r>
      <w:r>
        <w:br/>
      </w:r>
      <w:r>
        <w:t xml:space="preserve">]</w:t>
      </w:r>
    </w:p>
    <w:p>
      <w:pPr>
        <w:pStyle w:val="BodyText"/>
      </w:pPr>
      <w:r>
        <w:t xml:space="preserve">La phase (</w:t>
      </w:r>
      <w:r>
        <w:t xml:space="preserve">_{</w:t>
      </w:r>
      <w:r>
        <w:t xml:space="preserve">}) est sans dimension. Elle est généralement exprimée en degrés ou en radians :</w:t>
      </w:r>
    </w:p>
    <w:p>
      <w:pPr>
        <w:pStyle w:val="BodyText"/>
      </w:pPr>
      <w:r>
        <w:t xml:space="preserve">[</w:t>
      </w:r>
      <w:r>
        <w:br/>
      </w:r>
      <w:r>
        <w:t xml:space="preserve">_{</w:t>
      </w:r>
      <w:r>
        <w:t xml:space="preserve">}</w:t>
      </w:r>
      <w:r>
        <w:br/>
      </w:r>
      <w:r>
        <w:t xml:space="preserve">]</w:t>
      </w:r>
    </w:p>
    <w:p>
      <w:pPr>
        <w:pStyle w:val="BodyText"/>
      </w:pPr>
      <w:r>
        <w:t xml:space="preserve">Le PDG indique que, dans le scénario à trois neutrinos, des valeurs de (</w:t>
      </w:r>
      <w:r>
        <w:t xml:space="preserve">_{</w:t>
      </w:r>
      <w:r>
        <w:t xml:space="preserve">}) différentes de (0) et (</w:t>
      </w:r>
      <w:r>
        <w:t xml:space="preserve">) impliquent une violation CP dans les oscillations de neutrinos en vide. Il précise aussi que les phases de Majorana ne jouent pas de rôle dans les oscillations.</w:t>
      </w:r>
    </w:p>
    <w:bookmarkEnd w:id="21"/>
    <w:bookmarkStart w:id="22" w:name="statut-physique"/>
    <w:p>
      <w:pPr>
        <w:pStyle w:val="Heading2"/>
      </w:pPr>
      <w:r>
        <w:t xml:space="preserve">2. Statut physique</w:t>
      </w:r>
    </w:p>
    <w:p>
      <w:pPr>
        <w:pStyle w:val="FirstParagraph"/>
      </w:pPr>
      <w:r>
        <w:t xml:space="preserve">(</w:t>
      </w:r>
      <w:r>
        <w:t xml:space="preserve">_{</w:t>
      </w:r>
      <w:r>
        <w:t xml:space="preserve">}) n’est pas une masse, ni un angle de mélange ordinaire, ni une constante d’intensité. C’est une phase complexe interne à la matrice de mélange. Elle contrôle une asymétrie possible entre certains canaux d’oscillation de neutrinos et d’antineutrinos.</w:t>
      </w:r>
    </w:p>
    <w:p>
      <w:pPr>
        <w:pStyle w:val="BodyText"/>
      </w:pPr>
      <w:r>
        <w:t xml:space="preserve">Schématiquement, si CP est conservée, les probabilités de transition en vide satisfont :</w:t>
      </w:r>
    </w:p>
    <w:p>
      <w:pPr>
        <w:pStyle w:val="BodyText"/>
      </w:pPr>
      <w:r>
        <w:t xml:space="preserve">P(</w:t>
      </w:r>
      <w:r>
        <w:t xml:space="preserve">{</w:t>
      </w:r>
      <w:r>
        <w:t xml:space="preserve">}</w:t>
      </w:r>
      <w:r>
        <w:rPr>
          <w:i/>
          <w:iCs/>
        </w:rPr>
        <w:t xml:space="preserve">{</w:t>
      </w:r>
      <w:r>
        <w:rPr>
          <w:i/>
          <w:iCs/>
        </w:rPr>
        <w:t xml:space="preserve">}</w:t>
      </w:r>
      <w:r>
        <w:t xml:space="preserve">)</w:t>
      </w:r>
      <w:r>
        <w:br/>
      </w:r>
      <w:r>
        <w:t xml:space="preserve">]</w:t>
      </w:r>
    </w:p>
    <w:p>
      <w:pPr>
        <w:pStyle w:val="BodyText"/>
      </w:pPr>
      <w:r>
        <w:t xml:space="preserve">pour les canaux pertinents, à conditions égales. Si CP est violée dans le secteur leptonique, ces probabilités peuvent différer.</w:t>
      </w:r>
    </w:p>
    <w:p>
      <w:pPr>
        <w:pStyle w:val="BodyText"/>
      </w:pPr>
      <w:r>
        <w:t xml:space="preserve">La phase (</w:t>
      </w:r>
      <w:r>
        <w:t xml:space="preserve">_{</w:t>
      </w:r>
      <w:r>
        <w:t xml:space="preserve">}) n’agit donc pas comme un rythme d’oscillation. Les rythmes sont fixés par les (</w:t>
      </w:r>
      <w:r>
        <w:t xml:space="preserve">m^2). Elle n’agit pas non plus comme une simple amplitude de projection. Les amplitudes principales dépendent des angles de mélange. Elle agit comme une phase d’asymétrie : elle rend possible une différence entre processus neutrino et antineutrino dans le cadre des oscillations.</w:t>
      </w:r>
    </w:p>
    <w:bookmarkEnd w:id="22"/>
    <w:bookmarkStart w:id="23" w:name="X3fca7591f25c6fa44a7b498ca9317f815009cfb"/>
    <w:p>
      <w:pPr>
        <w:pStyle w:val="Heading2"/>
      </w:pPr>
      <w:r>
        <w:t xml:space="preserve">3. Conditions pour une violation CP observable</w:t>
      </w:r>
    </w:p>
    <w:p>
      <w:pPr>
        <w:pStyle w:val="FirstParagraph"/>
      </w:pPr>
      <w:r>
        <w:t xml:space="preserve">La présence formelle de (</w:t>
      </w:r>
      <w:r>
        <w:t xml:space="preserve">_{</w:t>
      </w:r>
      <w:r>
        <w:t xml:space="preserve">}) dans la matrice PMNS ne suffit pas à produire un effet observable fort. La violation CP oscillatoire dépend de plusieurs conditions.</w:t>
      </w:r>
    </w:p>
    <w:p>
      <w:pPr>
        <w:pStyle w:val="BodyText"/>
      </w:pPr>
      <w:r>
        <w:t xml:space="preserve">Les trois angles de mélange doivent être non nuls. En particulier, (</w:t>
      </w:r>
      <w:r>
        <w:t xml:space="preserve">_{13}</w:t>
      </w:r>
      <w:r>
        <w:t xml:space="preserve">) est crucial pour rendre (</w:t>
      </w:r>
      <w:r>
        <w:t xml:space="preserve">_{</w:t>
      </w:r>
      <w:r>
        <w:t xml:space="preserve">}) accessible expérimentalement.</w:t>
      </w:r>
    </w:p>
    <w:p>
      <w:pPr>
        <w:pStyle w:val="BodyText"/>
      </w:pPr>
      <w:r>
        <w:t xml:space="preserve">Les différences de masses au carré doivent être non dégénérées, car les effets oscillatoires reposent sur des différences de phase entre états de masse.</w:t>
      </w:r>
    </w:p>
    <w:p>
      <w:pPr>
        <w:pStyle w:val="BodyText"/>
      </w:pPr>
      <w:r>
        <w:t xml:space="preserve">Les expériences doivent comparer des canaux sensibles, typiquement :</w:t>
      </w:r>
    </w:p>
    <w:p>
      <w:pPr>
        <w:pStyle w:val="BodyText"/>
      </w:pPr>
      <w:r>
        <w:t xml:space="preserve">[</w:t>
      </w:r>
      <w:r>
        <w:br/>
      </w:r>
      <w:r>
        <w:t xml:space="preserve">_</w:t>
      </w:r>
      <w:r>
        <w:t xml:space="preserve">_e</w:t>
      </w:r>
      <w:r>
        <w:br/>
      </w:r>
      <w:r>
        <w:t xml:space="preserve">]</w:t>
      </w:r>
    </w:p>
    <w:p>
      <w:pPr>
        <w:pStyle w:val="BodyText"/>
      </w:pPr>
      <w:r>
        <w:t xml:space="preserve">et :</w:t>
      </w:r>
    </w:p>
    <w:p>
      <w:pPr>
        <w:pStyle w:val="BodyText"/>
      </w:pPr>
      <w:r>
        <w:t xml:space="preserve">[</w:t>
      </w:r>
      <w:r>
        <w:br/>
      </w:r>
      <w:r>
        <w:t xml:space="preserve">{</w:t>
      </w:r>
      <w:r>
        <w:t xml:space="preserve">}_</w:t>
      </w:r>
      <w:r>
        <w:t xml:space="preserve">{</w:t>
      </w:r>
      <w:r>
        <w:t xml:space="preserve">}_e</w:t>
      </w:r>
      <w:r>
        <w:br/>
      </w:r>
      <w:r>
        <w:t xml:space="preserve">]</w:t>
      </w:r>
    </w:p>
    <w:p>
      <w:pPr>
        <w:pStyle w:val="BodyText"/>
      </w:pPr>
      <w:r>
        <w:t xml:space="preserve">dans des dispositifs à longue ligne de base.</w:t>
      </w:r>
    </w:p>
    <w:p>
      <w:pPr>
        <w:pStyle w:val="BodyText"/>
      </w:pPr>
      <w:r>
        <w:t xml:space="preserve">Enfin, il faut distinguer une asymétrie CP intrinsèque des effets de matière. Quand les neutrinos traversent la Terre, les neutrinos et antineutrinos n’interagissent pas de la même manière avec les électrons du milieu. Cela peut produire une asymétrie apparente qui doit être séparée de l’effet propre de (</w:t>
      </w:r>
      <w:r>
        <w:t xml:space="preserve">_{</w:t>
      </w:r>
      <w:r>
        <w:t xml:space="preserve">}).</w:t>
      </w:r>
    </w:p>
    <w:bookmarkEnd w:id="23"/>
    <w:bookmarkStart w:id="24" w:name="jarlskog-leptonique"/>
    <w:p>
      <w:pPr>
        <w:pStyle w:val="Heading2"/>
      </w:pPr>
      <w:r>
        <w:t xml:space="preserve">4. Jarlskog leptonique</w:t>
      </w:r>
    </w:p>
    <w:p>
      <w:pPr>
        <w:pStyle w:val="FirstParagraph"/>
      </w:pPr>
      <w:r>
        <w:t xml:space="preserve">La violation CP dans les oscillations peut être quantifiée par l’invariant de Jarlskog leptonique :</w:t>
      </w:r>
    </w:p>
    <w:p>
      <w:pPr>
        <w:pStyle w:val="BodyText"/>
      </w:pPr>
      <w:r>
        <w:t xml:space="preserve">c_{12}s_{12}c_{23}s_{23}c_{13}^2s_{13}</w:t>
      </w:r>
      <w:r>
        <w:t xml:space="preserve">_{</w:t>
      </w:r>
      <w:r>
        <w:t xml:space="preserve">}</w:t>
      </w:r>
      <w:r>
        <w:br/>
      </w:r>
      <w:r>
        <w:t xml:space="preserve">]</w:t>
      </w:r>
    </w:p>
    <w:p>
      <w:pPr>
        <w:pStyle w:val="BodyText"/>
      </w:pPr>
      <w:r>
        <w:t xml:space="preserve">où :</w:t>
      </w:r>
    </w:p>
    <w:p>
      <w:pPr>
        <w:pStyle w:val="BodyText"/>
      </w:pPr>
      <w:r>
        <w:t xml:space="preserve">[</w:t>
      </w:r>
      <w:r>
        <w:br/>
      </w:r>
      <w:r>
        <w:t xml:space="preserve">s_{ij}=</w:t>
      </w:r>
      <w:r>
        <w:t xml:space="preserve">_{ij}</w:t>
      </w:r>
      <w:r>
        <w:br/>
      </w:r>
      <w:r>
        <w:t xml:space="preserve">]</w:t>
      </w:r>
    </w:p>
    <w:p>
      <w:pPr>
        <w:pStyle w:val="BodyText"/>
      </w:pPr>
      <w:r>
        <w:t xml:space="preserve">et :</w:t>
      </w:r>
    </w:p>
    <w:p>
      <w:pPr>
        <w:pStyle w:val="BodyText"/>
      </w:pPr>
      <w:r>
        <w:t xml:space="preserve">[</w:t>
      </w:r>
      <w:r>
        <w:br/>
      </w:r>
      <w:r>
        <w:t xml:space="preserve">c_{ij}=</w:t>
      </w:r>
      <w:r>
        <w:t xml:space="preserve">_{ij}</w:t>
      </w:r>
      <w:r>
        <w:br/>
      </w:r>
      <w:r>
        <w:t xml:space="preserve">]</w:t>
      </w:r>
    </w:p>
    <w:p>
      <w:pPr>
        <w:pStyle w:val="BodyText"/>
      </w:pPr>
      <w:r>
        <w:t xml:space="preserve">Le PDG présente cette mesure convention-indépendante de la violation CP dans le cadre à trois neutrinos et donne une valeur maximale typique :</w:t>
      </w:r>
    </w:p>
    <w:p>
      <w:pPr>
        <w:pStyle w:val="BodyText"/>
      </w:pPr>
      <w:r>
        <w:t xml:space="preserve">[</w:t>
      </w:r>
      <w:r>
        <w:br/>
      </w:r>
      <w:r>
        <w:t xml:space="preserve">J_{</w:t>
      </w:r>
      <w:r>
        <w:t xml:space="preserve">}^{</w:t>
      </w:r>
      <w:r>
        <w:t xml:space="preserve">}</w:t>
      </w:r>
      <w:r>
        <w:br/>
      </w:r>
      <w:r>
        <w:t xml:space="preserve">0333</w:t>
      </w:r>
      <w:r>
        <w:br/>
      </w:r>
      <w:r>
        <w:t xml:space="preserve">]</w:t>
      </w:r>
    </w:p>
    <w:p>
      <w:pPr>
        <w:pStyle w:val="BodyText"/>
      </w:pPr>
      <w:r>
        <w:t xml:space="preserve">avec des incertitudes faibles liées aux angles de mélange. La valeur effective de (J_{</w:t>
      </w:r>
      <w:r>
        <w:t xml:space="preserve">}) dépend ensuite de (</w:t>
      </w:r>
      <w:r>
        <w:t xml:space="preserve">_{</w:t>
      </w:r>
      <w:r>
        <w:t xml:space="preserve">}).</w:t>
      </w:r>
    </w:p>
    <w:p>
      <w:pPr>
        <w:pStyle w:val="BodyText"/>
      </w:pPr>
      <w:r>
        <w:t xml:space="preserve">Ce point est important pour notre grille : (</w:t>
      </w:r>
      <w:r>
        <w:t xml:space="preserve">_{</w:t>
      </w:r>
      <w:r>
        <w:t xml:space="preserve">}) n’est pas seule. Son effet physique observable est médié par les angles de mélange. La phase est nécessaire, mais elle travaille dans une architecture.</w:t>
      </w:r>
    </w:p>
    <w:bookmarkEnd w:id="24"/>
    <w:bookmarkStart w:id="25" w:name="niveau-actuel-de-détermination"/>
    <w:p>
      <w:pPr>
        <w:pStyle w:val="Heading2"/>
      </w:pPr>
      <w:r>
        <w:t xml:space="preserve">5. Niveau actuel de détermination</w:t>
      </w:r>
    </w:p>
    <w:p>
      <w:pPr>
        <w:pStyle w:val="FirstParagraph"/>
      </w:pPr>
      <w:r>
        <w:t xml:space="preserve">La phase (</w:t>
      </w:r>
      <w:r>
        <w:t xml:space="preserve">_{</w:t>
      </w:r>
      <w:r>
        <w:t xml:space="preserve">}) est aujourd’hui moins bien déterminée que les différences de masses au carré et que deux des trois angles de mélange. NuFIT 6.0, publié en 2024 à partir des données disponibles jusqu’en septembre 2024, indique que la détermination de (</w:t>
      </w:r>
      <w:r>
        <w:t xml:space="preserve">_{</w:t>
      </w:r>
      <w:r>
        <w:t xml:space="preserve">}) dépend fortement de l’ordre des masses : pour l’ordre normal, le fit global reste compatible avec la conservation CP à (1</w:t>
      </w:r>
      <w:r>
        <w:t xml:space="preserve">), tandis que pour l’ordre inversé, des valeurs proches de (270^</w:t>
      </w:r>
      <w:r>
        <w:t xml:space="preserve">) sont favorisées contre la conservation CP à plus de (3{,}6</w:t>
      </w:r>
      <w:r>
        <w:t xml:space="preserve">).</w:t>
      </w:r>
    </w:p>
    <w:p>
      <w:pPr>
        <w:pStyle w:val="BodyText"/>
      </w:pPr>
      <w:r>
        <w:t xml:space="preserve">Le PDG 2025 formule le même point avec prudence : pour l’ordre normal, le meilleur ajustement est très proche de la valeur CP-conservatrice (180^</w:t>
      </w:r>
      <w:r>
        <w:t xml:space="preserve">), avec (</w:t>
      </w:r>
      <w:r>
        <w:t xml:space="preserve">^2 &lt; 1) ; pour l’ordre inversé, les meilleurs ajustements sont proches de la violation CP maximale autour de (270^</w:t>
      </w:r>
      <w:r>
        <w:t xml:space="preserve">).</w:t>
      </w:r>
    </w:p>
    <w:p>
      <w:pPr>
        <w:pStyle w:val="BodyText"/>
      </w:pPr>
      <w:r>
        <w:t xml:space="preserve">Les résultats conjoints T2K + NOvA publiés en prépublication en 2025 renforcent le caractère encore ouvert de la situation : l’analyse ne trouve pas de forte préférence pour l’un ou l’autre ordre de masse, mais donne des intervalles contraints pour (</w:t>
      </w:r>
      <w:r>
        <w:t xml:space="preserve">_{</w:t>
      </w:r>
      <w:r>
        <w:t xml:space="preserve">}) et indique que, si l’ordre inversé était supposé vrai dans le paradigme à trois saveurs, les résultats fourniraient une évidence de violation CP dans le secteur leptonique.</w:t>
      </w:r>
    </w:p>
    <w:bookmarkEnd w:id="25"/>
    <w:bookmarkStart w:id="26" w:name="X5a799332c04085f1b0b7a55946d02fc73a54599"/>
    <w:p>
      <w:pPr>
        <w:pStyle w:val="Heading2"/>
      </w:pPr>
      <w:r>
        <w:t xml:space="preserve">6. Valeurs CP-conservatrices et violation maximale</w:t>
      </w:r>
    </w:p>
    <w:p>
      <w:pPr>
        <w:pStyle w:val="FirstParagraph"/>
      </w:pPr>
      <w:r>
        <w:t xml:space="preserve">Les valeurs CP-conservatrices usuelles sont :</w:t>
      </w:r>
    </w:p>
    <w:p>
      <w:pPr>
        <w:pStyle w:val="BodyText"/>
      </w:pPr>
      <w:r>
        <w:t xml:space="preserve">[</w:t>
      </w:r>
      <w:r>
        <w:br/>
      </w:r>
      <w:r>
        <w:t xml:space="preserve">_{</w:t>
      </w:r>
      <w:r>
        <w:t xml:space="preserve">}=0</w:t>
      </w:r>
      <w:r>
        <w:br/>
      </w:r>
      <w:r>
        <w:t xml:space="preserve">]</w:t>
      </w:r>
    </w:p>
    <w:p>
      <w:pPr>
        <w:pStyle w:val="BodyText"/>
      </w:pPr>
      <w:r>
        <w:t xml:space="preserve">et :</w:t>
      </w:r>
    </w:p>
    <w:p>
      <w:pPr>
        <w:pStyle w:val="BodyText"/>
      </w:pPr>
      <w:r>
        <w:t xml:space="preserve">[</w:t>
      </w:r>
      <w:r>
        <w:br/>
      </w:r>
      <w:r>
        <w:t xml:space="preserve">_{</w:t>
      </w:r>
      <w:r>
        <w:t xml:space="preserve">}=</w:t>
      </w:r>
      <w:r>
        <w:br/>
      </w:r>
      <w:r>
        <w:t xml:space="preserve">]</w:t>
      </w:r>
    </w:p>
    <w:p>
      <w:pPr>
        <w:pStyle w:val="BodyText"/>
      </w:pPr>
      <w:r>
        <w:t xml:space="preserve">ou, en degrés :</w:t>
      </w:r>
    </w:p>
    <w:p>
      <w:pPr>
        <w:pStyle w:val="BodyText"/>
      </w:pPr>
      <w:r>
        <w:t xml:space="preserve">[</w:t>
      </w:r>
      <w:r>
        <w:br/>
      </w:r>
      <w:r>
        <w:t xml:space="preserve">0</w:t>
      </w:r>
      <w:r>
        <w:rPr>
          <w:vertAlign w:val="superscript"/>
        </w:rPr>
        <w:t xml:space="preserve">,</w:t>
      </w:r>
      <w:r>
        <w:br/>
      </w:r>
      <w:r>
        <w:t xml:space="preserve">]</w:t>
      </w:r>
    </w:p>
    <w:p>
      <w:pPr>
        <w:pStyle w:val="BodyText"/>
      </w:pPr>
      <w:r>
        <w:t xml:space="preserve">Les valeurs proches de :</w:t>
      </w:r>
    </w:p>
    <w:p>
      <w:pPr>
        <w:pStyle w:val="BodyText"/>
      </w:pPr>
      <w:r>
        <w:t xml:space="preserve">[</w:t>
      </w:r>
      <w:r>
        <w:br/>
      </w:r>
      <w:r>
        <w:t xml:space="preserve">_{</w:t>
      </w:r>
      <w:r>
        <w:t xml:space="preserve">}=</w:t>
      </w:r>
      <w:r>
        <w:br/>
      </w:r>
      <w:r>
        <w:t xml:space="preserve">]</w:t>
      </w:r>
    </w:p>
    <w:p>
      <w:pPr>
        <w:pStyle w:val="BodyText"/>
      </w:pPr>
      <w:r>
        <w:t xml:space="preserve">ou :</w:t>
      </w:r>
    </w:p>
    <w:p>
      <w:pPr>
        <w:pStyle w:val="BodyText"/>
      </w:pPr>
      <w:r>
        <w:t xml:space="preserve">[</w:t>
      </w:r>
      <w:r>
        <w:br/>
      </w:r>
      <w:r>
        <w:t xml:space="preserve">_{</w:t>
      </w:r>
      <w:r>
        <w:t xml:space="preserve">}=</w:t>
      </w:r>
      <w:r>
        <w:br/>
      </w:r>
      <w:r>
        <w:t xml:space="preserve">]</w:t>
      </w:r>
    </w:p>
    <w:p>
      <w:pPr>
        <w:pStyle w:val="BodyText"/>
      </w:pPr>
      <w:r>
        <w:t xml:space="preserve">correspondent à une violation CP maximale en termes de (</w:t>
      </w:r>
      <w:r>
        <w:t xml:space="preserve">_{</w:t>
      </w:r>
      <w:r>
        <w:t xml:space="preserve">}), avec signe opposé selon la valeur.</w:t>
      </w:r>
    </w:p>
    <w:p>
      <w:pPr>
        <w:pStyle w:val="BodyText"/>
      </w:pPr>
      <w:r>
        <w:t xml:space="preserve">Le fait que certaines analyses favorisent une région proche de (270^</w:t>
      </w:r>
      <w:r>
        <w:t xml:space="preserve">) est donc physiquement significatif, mais il ne faut pas le transformer en conclusion prématurée. Le statut actuel est celui d’une indication dépendante des jeux de données, de l’ordre des masses, des effets de matière et des corrélations avec (</w:t>
      </w:r>
      <w:r>
        <w:t xml:space="preserve">_{23}).</w:t>
      </w:r>
    </w:p>
    <w:bookmarkEnd w:id="26"/>
    <w:bookmarkStart w:id="27" w:name="dirac-majorana-et-limite-oscillatoire"/>
    <w:p>
      <w:pPr>
        <w:pStyle w:val="Heading2"/>
      </w:pPr>
      <w:r>
        <w:t xml:space="preserve">7. Dirac, Majorana et limite oscillatoire</w:t>
      </w:r>
    </w:p>
    <w:p>
      <w:pPr>
        <w:pStyle w:val="FirstParagraph"/>
      </w:pPr>
      <w:r>
        <w:t xml:space="preserve">Dans les oscillations, (</w:t>
      </w:r>
      <w:r>
        <w:t xml:space="preserve">_{</w:t>
      </w:r>
      <w:r>
        <w:t xml:space="preserve">}) est la phase de type Dirac. Si les neutrinos sont de Majorana, la matrice de mélange contient en principe deux phases supplémentaires. Mais ces phases de Majorana ne modifient pas les probabilités d’oscillation. Le PDG précise que les phases de Majorana ne jouent pas de rôle dans les oscillations, et que la même paramétrisation peut être utilisée pour l’analyse oscillatoire, que les neutrinos soient Dirac ou Majorana.</w:t>
      </w:r>
    </w:p>
    <w:p>
      <w:pPr>
        <w:pStyle w:val="BodyText"/>
      </w:pPr>
      <w:r>
        <w:t xml:space="preserve">Cela impose une séparation nette.</w:t>
      </w:r>
    </w:p>
    <w:p>
      <w:pPr>
        <w:pStyle w:val="BodyText"/>
      </w:pPr>
      <w:r>
        <w:t xml:space="preserve">[</w:t>
      </w:r>
      <w:r>
        <w:br/>
      </w:r>
      <w:r>
        <w:t xml:space="preserve">_{</w:t>
      </w:r>
      <w:r>
        <w:t xml:space="preserve">}</w:t>
      </w:r>
      <w:r>
        <w:br/>
      </w:r>
      <w:r>
        <w:t xml:space="preserve">]</w:t>
      </w:r>
    </w:p>
    <w:p>
      <w:pPr>
        <w:pStyle w:val="BodyText"/>
      </w:pPr>
      <w:r>
        <w:t xml:space="preserve">est une phase oscillatoire.</w:t>
      </w:r>
    </w:p>
    <w:p>
      <w:pPr>
        <w:pStyle w:val="BodyText"/>
      </w:pPr>
      <w:r>
        <w:t xml:space="preserve">Les phases de Majorana, si elles existent, appartiennent à un autre dossier : double désintégration bêta sans neutrino, masse effective de Majorana, violation du nombre leptonique.</w:t>
      </w:r>
    </w:p>
    <w:p>
      <w:pPr>
        <w:pStyle w:val="BodyText"/>
      </w:pPr>
      <w:r>
        <w:t xml:space="preserve">La fiche présente ne traite donc pas toutes les phases leptoniques. Elle traite uniquement la phase CP observable dans les oscillations.</w:t>
      </w:r>
    </w:p>
    <w:bookmarkEnd w:id="27"/>
    <w:bookmarkStart w:id="28" w:name="X08de553b9aa0a801f4a846909bbfb90935528a5"/>
    <w:p>
      <w:pPr>
        <w:pStyle w:val="Heading2"/>
      </w:pPr>
      <w:r>
        <w:t xml:space="preserve">8. Lecture par la grille des constantes effectives stabilisées</w:t>
      </w:r>
    </w:p>
    <w:tbl>
      <w:tblPr>
        <w:tblStyle w:val="Table"/>
        <w:tblW w:type="pct" w:w="5000"/>
        <w:tblLayout w:type="fixed"/>
        <w:tblLook w:firstRow="1" w:lastRow="0" w:firstColumn="0" w:lastColumn="0" w:noHBand="0" w:noVBand="0" w:val="0020"/>
      </w:tblPr>
      <w:tblGrid>
        <w:gridCol w:w="2088"/>
        <w:gridCol w:w="5832"/>
      </w:tblGrid>
      <w:tr>
        <w:trPr>
          <w:tblHeader w:val="on"/>
        </w:trPr>
        <w:tc>
          <w:tcPr/>
          <w:p>
            <w:pPr>
              <w:pStyle w:val="Compact"/>
            </w:pPr>
            <w:r>
              <w:t xml:space="preserve">Critère</w:t>
            </w:r>
          </w:p>
        </w:tc>
        <w:tc>
          <w:tcPr/>
          <w:p>
            <w:pPr>
              <w:pStyle w:val="Compact"/>
            </w:pPr>
            <w:r>
              <w:t xml:space="preserve">Lecture pour (</w:t>
            </w:r>
            <w:r>
              <w:t xml:space="preserve">_{</w:t>
            </w:r>
            <w:r>
              <w:t xml:space="preserve">})</w:t>
            </w:r>
          </w:p>
        </w:tc>
      </w:tr>
      <w:tr>
        <w:tc>
          <w:tcPr/>
          <w:p>
            <w:pPr>
              <w:pStyle w:val="Compact"/>
            </w:pPr>
            <w:r>
              <w:t xml:space="preserve">Type de grandeur</w:t>
            </w:r>
          </w:p>
        </w:tc>
        <w:tc>
          <w:tcPr/>
          <w:p>
            <w:pPr>
              <w:pStyle w:val="Compact"/>
            </w:pPr>
            <w:r>
              <w:t xml:space="preserve">Phase sans dimension</w:t>
            </w:r>
          </w:p>
        </w:tc>
      </w:tr>
      <w:tr>
        <w:tc>
          <w:tcPr/>
          <w:p>
            <w:pPr>
              <w:pStyle w:val="Compact"/>
            </w:pPr>
            <w:r>
              <w:t xml:space="preserve">Domaine</w:t>
            </w:r>
          </w:p>
        </w:tc>
        <w:tc>
          <w:tcPr/>
          <w:p>
            <w:pPr>
              <w:pStyle w:val="Compact"/>
            </w:pPr>
            <w:r>
              <w:t xml:space="preserve">Matrice PMNS, oscillations à trois saveurs</w:t>
            </w:r>
          </w:p>
        </w:tc>
      </w:tr>
      <w:tr>
        <w:tc>
          <w:tcPr/>
          <w:p>
            <w:pPr>
              <w:pStyle w:val="Compact"/>
            </w:pPr>
            <w:r>
              <w:t xml:space="preserve">Valeurs CP-conservatrices</w:t>
            </w:r>
          </w:p>
        </w:tc>
        <w:tc>
          <w:tcPr/>
          <w:p>
            <w:pPr>
              <w:pStyle w:val="Compact"/>
            </w:pPr>
            <w:r>
              <w:t xml:space="preserve">(0), (</w:t>
            </w:r>
            <w:r>
              <w:t xml:space="preserve">)</w:t>
            </w:r>
          </w:p>
        </w:tc>
      </w:tr>
      <w:tr>
        <w:tc>
          <w:tcPr/>
          <w:p>
            <w:pPr>
              <w:pStyle w:val="Compact"/>
            </w:pPr>
            <w:r>
              <w:t xml:space="preserve">Valeurs de violation maximale</w:t>
            </w:r>
          </w:p>
        </w:tc>
        <w:tc>
          <w:tcPr/>
          <w:p>
            <w:pPr>
              <w:pStyle w:val="Compact"/>
            </w:pPr>
            <w:r>
              <w:t xml:space="preserve">(</w:t>
            </w:r>
            <w:r>
              <w:t xml:space="preserve">/2), (3</w:t>
            </w:r>
            <w:r>
              <w:t xml:space="preserve">/2)</w:t>
            </w:r>
          </w:p>
        </w:tc>
      </w:tr>
      <w:tr>
        <w:tc>
          <w:tcPr/>
          <w:p>
            <w:pPr>
              <w:pStyle w:val="Compact"/>
            </w:pPr>
            <w:r>
              <w:t xml:space="preserve">Observable principal</w:t>
            </w:r>
          </w:p>
        </w:tc>
        <w:tc>
          <w:tcPr/>
          <w:p>
            <w:pPr>
              <w:pStyle w:val="Compact"/>
            </w:pPr>
            <w:r>
              <w:t xml:space="preserve">Différence entre canaux neutrino et antineutrino</w:t>
            </w:r>
          </w:p>
        </w:tc>
      </w:tr>
      <w:tr>
        <w:tc>
          <w:tcPr/>
          <w:p>
            <w:pPr>
              <w:pStyle w:val="Compact"/>
            </w:pPr>
            <w:r>
              <w:t xml:space="preserve">Dépendances</w:t>
            </w:r>
          </w:p>
        </w:tc>
        <w:tc>
          <w:tcPr/>
          <w:p>
            <w:pPr>
              <w:pStyle w:val="Compact"/>
            </w:pPr>
            <w:r>
              <w:t xml:space="preserve">(</w:t>
            </w:r>
            <w:r>
              <w:t xml:space="preserve">_{13}), (</w:t>
            </w:r>
            <w:r>
              <w:t xml:space="preserve">_{23}), ordre des masses, effets de matière</w:t>
            </w:r>
          </w:p>
        </w:tc>
      </w:tr>
      <w:tr>
        <w:tc>
          <w:tcPr/>
          <w:p>
            <w:pPr>
              <w:pStyle w:val="Compact"/>
            </w:pPr>
            <w:r>
              <w:t xml:space="preserve">Mesures clés</w:t>
            </w:r>
          </w:p>
        </w:tc>
        <w:tc>
          <w:tcPr/>
          <w:p>
            <w:pPr>
              <w:pStyle w:val="Compact"/>
            </w:pPr>
            <w:r>
              <w:t xml:space="preserve">Expériences longue ligne de base, T2K, NOvA, futures DUNE/Hyper-K</w:t>
            </w:r>
          </w:p>
        </w:tc>
      </w:tr>
      <w:tr>
        <w:tc>
          <w:tcPr/>
          <w:p>
            <w:pPr>
              <w:pStyle w:val="Compact"/>
            </w:pPr>
            <w:r>
              <w:t xml:space="preserve">Statut actuel</w:t>
            </w:r>
          </w:p>
        </w:tc>
        <w:tc>
          <w:tcPr/>
          <w:p>
            <w:pPr>
              <w:pStyle w:val="Compact"/>
            </w:pPr>
            <w:r>
              <w:t xml:space="preserve">Paramètre en cours de stabilisation</w:t>
            </w:r>
          </w:p>
        </w:tc>
      </w:tr>
      <w:tr>
        <w:tc>
          <w:tcPr/>
          <w:p>
            <w:pPr>
              <w:pStyle w:val="Compact"/>
            </w:pPr>
            <w:r>
              <w:t xml:space="preserve">Catégorie proposée</w:t>
            </w:r>
          </w:p>
        </w:tc>
        <w:tc>
          <w:tcPr/>
          <w:p>
            <w:pPr>
              <w:pStyle w:val="Compact"/>
            </w:pPr>
            <w:r>
              <w:t xml:space="preserve">Constante de phase d’asymétrie oscillatoire</w:t>
            </w:r>
          </w:p>
        </w:tc>
      </w:tr>
      <w:tr>
        <w:tc>
          <w:tcPr/>
          <w:p>
            <w:pPr>
              <w:pStyle w:val="Compact"/>
            </w:pPr>
            <w:r>
              <w:t xml:space="preserve">Question centrale</w:t>
            </w:r>
          </w:p>
        </w:tc>
        <w:tc>
          <w:tcPr/>
          <w:p>
            <w:pPr>
              <w:pStyle w:val="Compact"/>
            </w:pPr>
            <w:r>
              <w:t xml:space="preserve">Comment une phase interne de mélange devient-elle observable comme asymétrie CP ?</w:t>
            </w:r>
          </w:p>
        </w:tc>
      </w:tr>
    </w:tbl>
    <w:bookmarkEnd w:id="28"/>
    <w:bookmarkStart w:id="29" w:name="catégorie-proposée"/>
    <w:p>
      <w:pPr>
        <w:pStyle w:val="Heading2"/>
      </w:pPr>
      <w:r>
        <w:t xml:space="preserve">9. Catégorie proposée</w:t>
      </w:r>
    </w:p>
    <w:p>
      <w:pPr>
        <w:pStyle w:val="FirstParagraph"/>
      </w:pPr>
      <w:r>
        <w:t xml:space="preserve">(</w:t>
      </w:r>
      <w:r>
        <w:t xml:space="preserve">_{</w:t>
      </w:r>
      <w:r>
        <w:t xml:space="preserve">}) introduit la catégorie de</w:t>
      </w:r>
      <w:r>
        <w:t xml:space="preserve"> </w:t>
      </w:r>
      <w:r>
        <w:rPr>
          <w:b/>
          <w:bCs/>
        </w:rPr>
        <w:t xml:space="preserve">constante de phase d’asymétrie oscillatoire</w:t>
      </w:r>
      <w:r>
        <w:t xml:space="preserve">.</w:t>
      </w:r>
    </w:p>
    <w:p>
      <w:pPr>
        <w:pStyle w:val="BodyText"/>
      </w:pPr>
      <w:r>
        <w:t xml:space="preserve">Une constante de phase d’asymétrie oscillatoire désigne un paramètre sans dimension qui ne fixe ni une masse, ni un rythme, ni une amplitude simple, mais une orientation complexe dans la matrice de mélange, susceptible de produire une différence observable entre processus CP-conjugués.</w:t>
      </w:r>
    </w:p>
    <w:p>
      <w:pPr>
        <w:pStyle w:val="BodyText"/>
      </w:pPr>
      <w:r>
        <w:t xml:space="preserve">Cette catégorie doit être marquée comme partiellement stabilisée. (</w:t>
      </w:r>
      <w:r>
        <w:t xml:space="preserve">_{</w:t>
      </w:r>
      <w:r>
        <w:t xml:space="preserve">}) est indispensable dans la paramétrisation du régime oscillatoire à trois saveurs, mais sa valeur expérimentale n’est pas encore fixée avec le même degré de robustesse que les (</w:t>
      </w:r>
      <w:r>
        <w:t xml:space="preserve">m^2) ou (</w:t>
      </w:r>
      <w:r>
        <w:t xml:space="preserve">_{13}).</w:t>
      </w:r>
    </w:p>
    <w:bookmarkEnd w:id="29"/>
    <w:bookmarkStart w:id="30" w:name="formulation-provisoire"/>
    <w:p>
      <w:pPr>
        <w:pStyle w:val="Heading2"/>
      </w:pPr>
      <w:r>
        <w:t xml:space="preserve">10. Formulation provisoire</w:t>
      </w:r>
    </w:p>
    <w:p>
      <w:pPr>
        <w:pStyle w:val="FirstParagraph"/>
      </w:pPr>
      <w:r>
        <w:t xml:space="preserve">La phase (</w:t>
      </w:r>
      <w:r>
        <w:t xml:space="preserve">_{</w:t>
      </w:r>
      <w:r>
        <w:t xml:space="preserve">}) peut être comprise comme une constante effective en cours de stabilisation du régime oscillatoire leptonique. Elle exprime la composante complexe de la matrice PMNS susceptible de produire une asymétrie entre oscillations de neutrinos et d’antineutrinos.</w:t>
      </w:r>
    </w:p>
    <w:p>
      <w:pPr>
        <w:pStyle w:val="BodyText"/>
      </w:pPr>
      <w:r>
        <w:t xml:space="preserve">La question pertinente devient donc :</w:t>
      </w:r>
    </w:p>
    <w:p>
      <w:pPr>
        <w:pStyle w:val="BodyText"/>
      </w:pPr>
      <w:r>
        <w:rPr>
          <w:b/>
          <w:bCs/>
        </w:rPr>
        <w:t xml:space="preserve">À quelles conditions (</w:t>
      </w:r>
      <w:r>
        <w:rPr>
          <w:b/>
          <w:bCs/>
        </w:rPr>
        <w:t xml:space="preserve">_{</w:t>
      </w:r>
      <w:r>
        <w:rPr>
          <w:b/>
          <w:bCs/>
        </w:rPr>
        <w:t xml:space="preserve">}) peut-elle être traitée comme une constante stabilisée, alors que sa valeur actuelle reste corrélée à l’ordre des masses, à (</w:t>
      </w:r>
      <w:r>
        <w:rPr>
          <w:b/>
          <w:bCs/>
        </w:rPr>
        <w:t xml:space="preserve">_{23}), aux effets de matière et aux tensions entre jeux de données ?</w:t>
      </w:r>
    </w:p>
    <w:bookmarkEnd w:id="30"/>
    <w:bookmarkStart w:id="31" w:name="fonction-dans-lenquête-générale"/>
    <w:p>
      <w:pPr>
        <w:pStyle w:val="Heading2"/>
      </w:pPr>
      <w:r>
        <w:t xml:space="preserve">11. Fonction dans l’enquête générale</w:t>
      </w:r>
    </w:p>
    <w:p>
      <w:pPr>
        <w:pStyle w:val="FirstParagraph"/>
      </w:pPr>
      <w:r>
        <w:t xml:space="preserve">Cette fiche ajoute une forme nouvelle de constance : la constance comme phase d’asymétrie. Avec (</w:t>
      </w:r>
      <w:r>
        <w:t xml:space="preserve">_{</w:t>
      </w:r>
      <w:r>
        <w:t xml:space="preserve">}), la grandeur stable recherchée n’est pas une valeur absolue, une échelle, un couplage ou une fréquence, mais une orientation complexe qui rend possible une différence entre deux processus conjugués.</w:t>
      </w:r>
    </w:p>
    <w:p>
      <w:pPr>
        <w:pStyle w:val="BodyText"/>
      </w:pPr>
      <w:r>
        <w:t xml:space="preserve">Le secteur neutrino comporte donc trois couches distinctes :</w:t>
      </w:r>
    </w:p>
    <w:p>
      <w:pPr>
        <w:pStyle w:val="BodyText"/>
      </w:pPr>
      <w:r>
        <w:t xml:space="preserve">[</w:t>
      </w:r>
      <w:r>
        <w:br/>
      </w:r>
      <w:r>
        <w:t xml:space="preserve">m^2</w:t>
      </w:r>
      <w:r>
        <w:br/>
      </w:r>
      <w:r>
        <w:t xml:space="preserve">]</w:t>
      </w:r>
    </w:p>
    <w:p>
      <w:pPr>
        <w:pStyle w:val="BodyText"/>
      </w:pPr>
      <w:r>
        <w:t xml:space="preserve">comme constantes de phase de propagation,</w:t>
      </w:r>
    </w:p>
    <w:p>
      <w:pPr>
        <w:pStyle w:val="BodyText"/>
      </w:pPr>
      <w:r>
        <w:t xml:space="preserve">[</w:t>
      </w:r>
      <w:r>
        <w:br/>
      </w:r>
      <w:r>
        <w:t xml:space="preserve">_{12},</w:t>
      </w:r>
      <w:r>
        <w:t xml:space="preserve">_{23},</w:t>
      </w:r>
      <w:r>
        <w:t xml:space="preserve">_{13}</w:t>
      </w:r>
      <w:r>
        <w:br/>
      </w:r>
      <w:r>
        <w:t xml:space="preserve">]</w:t>
      </w:r>
    </w:p>
    <w:p>
      <w:pPr>
        <w:pStyle w:val="BodyText"/>
      </w:pPr>
      <w:r>
        <w:t xml:space="preserve">comme constantes de projection oscillatoire,</w:t>
      </w:r>
    </w:p>
    <w:p>
      <w:pPr>
        <w:pStyle w:val="BodyText"/>
      </w:pPr>
      <w:r>
        <w:t xml:space="preserve">[</w:t>
      </w:r>
      <w:r>
        <w:br/>
      </w:r>
      <w:r>
        <w:t xml:space="preserve">_{</w:t>
      </w:r>
      <w:r>
        <w:t xml:space="preserve">}</w:t>
      </w:r>
      <w:r>
        <w:br/>
      </w:r>
      <w:r>
        <w:t xml:space="preserve">]</w:t>
      </w:r>
    </w:p>
    <w:p>
      <w:pPr>
        <w:pStyle w:val="BodyText"/>
      </w:pPr>
      <w:r>
        <w:t xml:space="preserve">comme phase d’asymétrie oscillatoire.</w:t>
      </w:r>
    </w:p>
    <w:p>
      <w:pPr>
        <w:pStyle w:val="BodyText"/>
      </w:pPr>
      <w:r>
        <w:t xml:space="preserve">La prochaine fiche pourra traiter la masse absolue des neutrinos, en distinguant soigneusement les contraintes cinématiques, cosmologiques et celles liées à la double désintégration bêta sans neutrino.</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2026-07-09T06:23:47Z</dcterms:created>
  <dcterms:modified xsi:type="dcterms:W3CDTF">2026-07-09T06:23:47Z</dcterms:modified>
</cp:coreProperties>
</file>

<file path=docProps/custom.xml><?xml version="1.0" encoding="utf-8"?>
<Properties xmlns="http://schemas.openxmlformats.org/officeDocument/2006/custom-properties" xmlns:vt="http://schemas.openxmlformats.org/officeDocument/2006/docPropsVTypes"/>
</file>