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fiche-m_pm_e-v0.1"/>
    <w:p>
      <w:pPr>
        <w:pStyle w:val="Heading1"/>
      </w:pPr>
      <w:r>
        <w:t xml:space="preserve">Fiche (m_p/m_e) v0.1</w:t>
      </w:r>
    </w:p>
    <w:bookmarkStart w:id="20" w:name="X56680b0230dd4a3290ab4dcb985f3a4d7d7e70c"/>
    <w:p>
      <w:pPr>
        <w:pStyle w:val="Heading2"/>
      </w:pPr>
      <w:r>
        <w:t xml:space="preserve">Rapport proton/électron, QCD et double régime de stabilisation</w:t>
      </w:r>
    </w:p>
    <w:bookmarkEnd w:id="20"/>
    <w:bookmarkStart w:id="21" w:name="identification"/>
    <w:p>
      <w:pPr>
        <w:pStyle w:val="Heading2"/>
      </w:pPr>
      <w:r>
        <w:t xml:space="preserve">1. Identification</w:t>
      </w:r>
    </w:p>
    <w:p>
      <w:pPr>
        <w:pStyle w:val="FirstParagraph"/>
      </w:pPr>
      <w:r>
        <w:t xml:space="preserve">Le rapport proton/électron, noté ici :</w:t>
      </w:r>
    </w:p>
    <w:p>
      <w:pPr>
        <w:pStyle w:val="BodyText"/>
      </w:pPr>
      <w:r>
        <w:t xml:space="preserve">[</w:t>
      </w:r>
      <w:r>
        <w:t xml:space="preserve"> </w:t>
      </w:r>
      <w:r>
        <w:t xml:space="preserve">=</w:t>
      </w:r>
      <w:r>
        <w:t xml:space="preserve"> </w:t>
      </w:r>
      <w:r>
        <w:t xml:space="preserve"> </w:t>
      </w:r>
      <w:r>
        <w:t xml:space="preserve">]</w:t>
      </w:r>
    </w:p>
    <w:p>
      <w:pPr>
        <w:pStyle w:val="BodyText"/>
      </w:pPr>
      <w:r>
        <w:t xml:space="preserve">désigne le rapport entre la masse au repos du proton et la masse au repos de l’électron. Sa valeur recommandée par CODATA 2022 est approximativement :</w:t>
      </w:r>
    </w:p>
    <w:p>
      <w:pPr>
        <w:pStyle w:val="BodyText"/>
      </w:pPr>
      <w:r>
        <w:t xml:space="preserve">[</w:t>
      </w:r>
      <w:r>
        <w:t xml:space="preserve"> </w:t>
      </w:r>
      <w:r>
        <w:t xml:space="preserve">152,673,426</w:t>
      </w:r>
      <w:r>
        <w:t xml:space="preserve"> </w:t>
      </w:r>
      <w:r>
        <w:t xml:space="preserve">]</w:t>
      </w:r>
    </w:p>
    <w:p>
      <w:pPr>
        <w:pStyle w:val="BodyText"/>
      </w:pPr>
      <w:r>
        <w:t xml:space="preserve">CODATA 2022, publié en 2024, fournit les valeurs ajustées des constantes fondamentales à partir des données disponibles jusqu’au 31 décembre 2022.</w:t>
      </w:r>
    </w:p>
    <w:p>
      <w:pPr>
        <w:pStyle w:val="BodyText"/>
      </w:pPr>
      <w:r>
        <w:t xml:space="preserve">Le point décisif est que (</w:t>
      </w:r>
      <w:r>
        <w:t xml:space="preserve">) est un rapport sans dimension. Contrairement à (m_e) ou (m_p) pris séparément en kilogrammes ou en MeV, (</w:t>
      </w:r>
      <w:r>
        <w:t xml:space="preserve">) ne dépend pas du choix d’unités. Il appartient donc à la famille des grandeurs directement pertinentes pour les tests de variation des constantes.</w:t>
      </w:r>
    </w:p>
    <w:p>
      <w:pPr>
        <w:pStyle w:val="BodyText"/>
      </w:pPr>
      <w:r>
        <w:t xml:space="preserve">Il faut cependant noter une ambiguïté de notation : certains articles utilisent (</w:t>
      </w:r>
      <w:r>
        <w:t xml:space="preserve">) pour (m_p/m_e), d’autres pour (m_e/m_p). Dans cette fiche, sauf mention contraire :</w:t>
      </w:r>
    </w:p>
    <w:p>
      <w:pPr>
        <w:pStyle w:val="BodyText"/>
      </w:pPr>
      <w:r>
        <w:t xml:space="preserve">[</w:t>
      </w:r>
      <w:r>
        <w:t xml:space="preserve"> </w:t>
      </w:r>
      <w:r>
        <w:t xml:space="preserve">=</w:t>
      </w:r>
      <w:r>
        <w:t xml:space="preserve"> </w:t>
      </w:r>
      <w:r>
        <w:t xml:space="preserve"> </w:t>
      </w:r>
      <w:r>
        <w:t xml:space="preserve">]</w:t>
      </w:r>
    </w:p>
    <w:bookmarkEnd w:id="21"/>
    <w:bookmarkStart w:id="22" w:name="statut-physique-général"/>
    <w:p>
      <w:pPr>
        <w:pStyle w:val="Heading2"/>
      </w:pPr>
      <w:r>
        <w:t xml:space="preserve">2. Statut physique général</w:t>
      </w:r>
    </w:p>
    <w:p>
      <w:pPr>
        <w:pStyle w:val="FirstParagraph"/>
      </w:pPr>
      <w:r>
        <w:t xml:space="preserve">Le rapport (m_p/m_e) est plus qu’un simple quotient numérique. Il compare deux régimes de masse très différents.</w:t>
      </w:r>
    </w:p>
    <w:p>
      <w:pPr>
        <w:pStyle w:val="BodyText"/>
      </w:pPr>
      <w:r>
        <w:t xml:space="preserve">La masse de l’électron est liée au couplage de Yukawa de l’électron et à la valeur moyenne du champ de Higgs dans le régime électrofaible brisé :</w:t>
      </w:r>
    </w:p>
    <w:p>
      <w:pPr>
        <w:pStyle w:val="BodyText"/>
      </w:pPr>
      <w:r>
        <w:t xml:space="preserve">[</w:t>
      </w:r>
      <w:r>
        <w:t xml:space="preserve"> </w:t>
      </w:r>
      <w:r>
        <w:t xml:space="preserve">m_e =</w:t>
      </w:r>
      <w:r>
        <w:t xml:space="preserve"> </w:t>
      </w:r>
      <w:r>
        <w:t xml:space="preserve"> </w:t>
      </w:r>
      <w:r>
        <w:t xml:space="preserve">]</w:t>
      </w:r>
    </w:p>
    <w:p>
      <w:pPr>
        <w:pStyle w:val="BodyText"/>
      </w:pPr>
      <w:r>
        <w:t xml:space="preserve">Le modèle électrofaible du Modèle standard introduit un doublet de Higgs dont la valeur moyenne non nulle brise (SU(2)_L</w:t>
      </w:r>
      <w:r>
        <w:t xml:space="preserve"> </w:t>
      </w:r>
      <w:r>
        <w:t xml:space="preserve">U(1)</w:t>
      </w:r>
      <w:r>
        <w:rPr>
          <w:i/>
          <w:iCs/>
        </w:rPr>
        <w:t xml:space="preserve">Y) vers (U(1)</w:t>
      </w:r>
      <w:r>
        <w:t xml:space="preserve">{</w:t>
      </w:r>
      <w:r>
        <w:t xml:space="preserve">}), avec (v</w:t>
      </w:r>
      <w:r>
        <w:t xml:space="preserve"> </w:t>
      </w:r>
      <w:r>
        <w:t xml:space="preserve"> </w:t>
      </w:r>
      <w:r>
        <w:t xml:space="preserve">). Après cette brisure, le lagrangien contient les masses fermioniques et les couplages du Higgs aux fermions.</w:t>
      </w:r>
    </w:p>
    <w:p>
      <w:pPr>
        <w:pStyle w:val="BodyText"/>
      </w:pPr>
      <w:r>
        <w:t xml:space="preserve">La masse du proton, en revanche, n’est pas principalement une somme des masses des quarks de valence (u,u,d). Elle relève majoritairement de la dynamique de QCD : confinement, énergie des champs gluoniques, dynamique non perturbative et anomalie de trace. Roberts souligne que le Higgs fournit directement la masse des particules élémentaires comme l’électron, mais que la masse du proton a une source largement différente, liée à la structure non perturbative de QCD.</w:t>
      </w:r>
    </w:p>
    <w:p>
      <w:pPr>
        <w:pStyle w:val="BodyText"/>
      </w:pPr>
      <w:r>
        <w:t xml:space="preserve">Le rapport (m_p/m_e) relie donc deux systèmes physiques très différents :</w:t>
      </w:r>
    </w:p>
    <w:p>
      <w:pPr>
        <w:pStyle w:val="BodyText"/>
      </w:pPr>
      <w:r>
        <w:t xml:space="preserve">[</w:t>
      </w:r>
      <w:r>
        <w:t xml:space="preserve"> </w:t>
      </w:r>
      <w:r>
        <w:t xml:space="preserve"> </w:t>
      </w:r>
      <w:r>
        <w:t xml:space="preserve"> </w:t>
      </w:r>
      <w:r>
        <w:t xml:space="preserve"> </w:t>
      </w:r>
      <w:r>
        <w:t xml:space="preserve">]</w:t>
      </w:r>
    </w:p>
    <w:p>
      <w:pPr>
        <w:pStyle w:val="BodyText"/>
      </w:pPr>
      <w:r>
        <w:t xml:space="preserve">Ce point fait de (</w:t>
      </w:r>
      <w:r>
        <w:t xml:space="preserve">) un cas central pour l’enquête. Le rapport est sans dimension, mais il condense plusieurs couches de physique.</w:t>
      </w:r>
    </w:p>
    <w:bookmarkEnd w:id="22"/>
    <w:bookmarkStart w:id="23" w:name="composition-conceptuelle-du-rapport"/>
    <w:p>
      <w:pPr>
        <w:pStyle w:val="Heading2"/>
      </w:pPr>
      <w:r>
        <w:t xml:space="preserve">3. Composition conceptuelle du rapport</w:t>
      </w:r>
    </w:p>
    <w:p>
      <w:pPr>
        <w:pStyle w:val="FirstParagraph"/>
      </w:pPr>
      <w:r>
        <w:t xml:space="preserve">Dans une approximation utile pour notre cartographie, on peut lire le rapport comme :</w:t>
      </w:r>
    </w:p>
    <w:p>
      <w:pPr>
        <w:pStyle w:val="BodyText"/>
      </w:pPr>
      <w:r>
        <w:t xml:space="preserve">[</w:t>
      </w:r>
      <w:r>
        <w:t xml:space="preserve"> </w:t>
      </w:r>
      <w:r>
        <w:t xml:space="preserve">=</w:t>
      </w:r>
      <w:r>
        <w:t xml:space="preserve"> </w:t>
      </w:r>
      <w:r>
        <w:t xml:space="preserve"> </w:t>
      </w:r>
      <w:r>
        <w:t xml:space="preserve"> </w:t>
      </w:r>
      <w:r>
        <w:t xml:space="preserve"> </w:t>
      </w:r>
      <w:r>
        <w:t xml:space="preserve">]</w:t>
      </w:r>
    </w:p>
    <w:p>
      <w:pPr>
        <w:pStyle w:val="BodyText"/>
      </w:pPr>
      <w:r>
        <w:t xml:space="preserve">Cette formule n’est pas une équation exacte. Elle sert de carte conceptuelle. Elle indique que le numérateur dépend fortement de l’échelle QCD, du confinement et des contributions non perturbatives, tandis que le dénominateur dépend du secteur électrofaible brisé et du couplage de Yukawa de l’électron.</w:t>
      </w:r>
    </w:p>
    <w:p>
      <w:pPr>
        <w:pStyle w:val="BodyText"/>
      </w:pPr>
      <w:r>
        <w:t xml:space="preserve">Le rapport (m_p/m_e) est donc sans dimension, mais non simple. Il ne correspond pas à un seul paramètre fondamental isolé. Il résulte de la mise en rapport de deux masses dont les conditions de constitution théorique sont différentes.</w:t>
      </w:r>
    </w:p>
    <w:p>
      <w:pPr>
        <w:pStyle w:val="BodyText"/>
      </w:pPr>
      <w:r>
        <w:t xml:space="preserve">Dans la grille des constantes effectives stabilisées, (</w:t>
      </w:r>
      <w:r>
        <w:t xml:space="preserve">) doit être traité comme une constante relationnelle stratifiée.</w:t>
      </w:r>
    </w:p>
    <w:bookmarkEnd w:id="23"/>
    <w:bookmarkStart w:id="24" w:name="régimes-requis"/>
    <w:p>
      <w:pPr>
        <w:pStyle w:val="Heading2"/>
      </w:pPr>
      <w:r>
        <w:t xml:space="preserve">4. Régimes requis</w:t>
      </w:r>
    </w:p>
    <w:p>
      <w:pPr>
        <w:pStyle w:val="FirstParagraph"/>
      </w:pPr>
      <w:r>
        <w:t xml:space="preserve">Le rapport (m_p/m_e) présuppose au moins deux régimes physiques installés.</w:t>
      </w:r>
    </w:p>
    <w:p>
      <w:pPr>
        <w:pStyle w:val="BodyText"/>
      </w:pPr>
      <w:r>
        <w:t xml:space="preserve">Premier régime : le régime électrofaible brisé. Il rend pertinente la masse de l’électron comme masse de repos basse énergie, via le champ de Higgs et le couplage de Yukawa.</w:t>
      </w:r>
    </w:p>
    <w:p>
      <w:pPr>
        <w:pStyle w:val="BodyText"/>
      </w:pPr>
      <w:r>
        <w:t xml:space="preserve">Deuxième régime : le régime QCD confiné. Il rend pertinente la masse du proton comme masse d’un état baryonique stable. Le proton n’est pas un degré de liberté élémentaire du lagrangien QCD ; il est un état composite construit par la dynamique forte.</w:t>
      </w:r>
    </w:p>
    <w:p>
      <w:pPr>
        <w:pStyle w:val="BodyText"/>
      </w:pPr>
      <w:r>
        <w:t xml:space="preserve">Le rapport (</w:t>
      </w:r>
      <w:r>
        <w:t xml:space="preserve">) ne devient donc pleinement lisible qu’une fois ces deux régimes articulés :</w:t>
      </w:r>
    </w:p>
    <w:p>
      <w:pPr>
        <w:pStyle w:val="BodyText"/>
      </w:pPr>
      <w:r>
        <w:t xml:space="preserve">[</w:t>
      </w:r>
      <w:r>
        <w:t xml:space="preserve"> </w:t>
      </w:r>
      <w:r>
        <w:t xml:space="preserve"> </w:t>
      </w:r>
      <w:r>
        <w:t xml:space="preserve">+</w:t>
      </w:r>
      <w:r>
        <w:t xml:space="preserve"> </w:t>
      </w:r>
      <w:r>
        <w:t xml:space="preserve"> </w:t>
      </w:r>
      <w:r>
        <w:t xml:space="preserve"> </w:t>
      </w:r>
      <w:r>
        <w:t xml:space="preserve">m_e, m_p, </w:t>
      </w:r>
      <w:r>
        <w:t xml:space="preserve"> </w:t>
      </w:r>
      <w:r>
        <w:t xml:space="preserve">]</w:t>
      </w:r>
    </w:p>
    <w:p>
      <w:pPr>
        <w:pStyle w:val="BodyText"/>
      </w:pPr>
      <w:r>
        <w:t xml:space="preserve">Cela ne signifie pas que le rapport</w:t>
      </w:r>
      <w:r>
        <w:t xml:space="preserve"> </w:t>
      </w:r>
      <w:r>
        <w:t xml:space="preserve">“apparaît”</w:t>
      </w:r>
      <w:r>
        <w:t xml:space="preserve"> </w:t>
      </w:r>
      <w:r>
        <w:t xml:space="preserve">comme un objet soudain. Cela signifie que son statut physique actuel présuppose des conditions de définition : particules massives, proton stabilisé, électron massif, matière atomique possible, spectroscopie possible.</w:t>
      </w:r>
    </w:p>
    <w:bookmarkEnd w:id="24"/>
    <w:bookmarkStart w:id="25" w:name="rôle-dans-la-matière-ordinaire"/>
    <w:p>
      <w:pPr>
        <w:pStyle w:val="Heading2"/>
      </w:pPr>
      <w:r>
        <w:t xml:space="preserve">5. Rôle dans la matière ordinaire</w:t>
      </w:r>
    </w:p>
    <w:p>
      <w:pPr>
        <w:pStyle w:val="FirstParagraph"/>
      </w:pPr>
      <w:r>
        <w:t xml:space="preserve">Le rapport (m_p/m_e) joue un rôle structurant dans la physique de la matière.</w:t>
      </w:r>
    </w:p>
    <w:p>
      <w:pPr>
        <w:pStyle w:val="BodyText"/>
      </w:pPr>
      <w:r>
        <w:t xml:space="preserve">Il intervient indirectement dans les échelles atomiques et moléculaires, dans la séparation entre mouvement électronique et mouvement nucléaire, dans les approximations de Born-Oppenheimer, dans les spectres moléculaires, et dans la chimie. Le fait que le proton soit environ 1836 fois plus massif que l’électron permet une hiérarchie nette entre degrés de liberté électroniques et nucléaires.</w:t>
      </w:r>
    </w:p>
    <w:p>
      <w:pPr>
        <w:pStyle w:val="BodyText"/>
      </w:pPr>
      <w:r>
        <w:t xml:space="preserve">Cette hiérarchie est l’une des conditions de stabilité des structures atomiques et moléculaires telles que nous les décrivons. Dans notre enquête, (</w:t>
      </w:r>
      <w:r>
        <w:t xml:space="preserve">) est donc un bon cas pour penser une constante non seulement comme nombre, mais comme rapport organisateur d’un domaine physique.</w:t>
      </w:r>
    </w:p>
    <w:bookmarkEnd w:id="25"/>
    <w:bookmarkStart w:id="26" w:name="X958842277176f74cc4d51d48c7966ee2a076b0c"/>
    <w:p>
      <w:pPr>
        <w:pStyle w:val="Heading2"/>
      </w:pPr>
      <w:r>
        <w:t xml:space="preserve">6. Contraintes observationnelles sur la stabilité</w:t>
      </w:r>
    </w:p>
    <w:p>
      <w:pPr>
        <w:pStyle w:val="FirstParagraph"/>
      </w:pPr>
      <w:r>
        <w:t xml:space="preserve">Les recherches récentes testent la stabilité de (</w:t>
      </w:r>
      <w:r>
        <w:t xml:space="preserve">) en comparant des spectres moléculaires observés à haut redshift avec les valeurs mesurées en laboratoire.</w:t>
      </w:r>
    </w:p>
    <w:p>
      <w:pPr>
        <w:pStyle w:val="BodyText"/>
      </w:pPr>
      <w:r>
        <w:t xml:space="preserve">T. D. Le propose en 2024 une recherche de variation cosmologique de (m_p/m_e) à partir d’un système (H_2) associé au quasar QSO 0347-383. Le résultat annoncé est :</w:t>
      </w:r>
    </w:p>
    <w:p>
      <w:pPr>
        <w:pStyle w:val="BodyText"/>
      </w:pPr>
      <w:r>
        <w:t xml:space="preserve">[</w:t>
      </w:r>
      <w:r>
        <w:t xml:space="preserve"> </w:t>
      </w:r>
      <w:r>
        <w:t xml:space="preserve">/</w:t>
      </w:r>
      <w:r>
        <w:t xml:space="preserve">= (0{,}120</w:t>
      </w:r>
      <w:r>
        <w:t xml:space="preserve"> </w:t>
      </w:r>
      <w:r>
        <w:t xml:space="preserve">144)</w:t>
      </w:r>
      <w:r>
        <w:t xml:space="preserve">^{-8}</w:t>
      </w:r>
      <w:r>
        <w:t xml:space="preserve"> </w:t>
      </w:r>
      <w:r>
        <w:t xml:space="preserve">]</w:t>
      </w:r>
    </w:p>
    <w:p>
      <w:pPr>
        <w:pStyle w:val="BodyText"/>
      </w:pPr>
      <w:r>
        <w:t xml:space="preserve">à (z_{</w:t>
      </w:r>
      <w:r>
        <w:t xml:space="preserve">} = 3{,}025), compatible avec l’absence de variation significative dans ce cadre.</w:t>
      </w:r>
    </w:p>
    <w:p>
      <w:pPr>
        <w:pStyle w:val="BodyText"/>
      </w:pPr>
      <w:r>
        <w:t xml:space="preserve">Martins propose en 2025 une approche cosmographique des constantes variables, étendue à plusieurs couplages sans dimension. Le résultat général ne montre pas d’évidence statistiquement significative de variation et place des contraintes fortes sur les premiers coefficients des séries cosmographiques.</w:t>
      </w:r>
    </w:p>
    <w:p>
      <w:pPr>
        <w:pStyle w:val="BodyText"/>
      </w:pPr>
      <w:r>
        <w:t xml:space="preserve">Ces résultats ne tranchent pas le statut théorique de (</w:t>
      </w:r>
      <w:r>
        <w:t xml:space="preserve">). Ils indiquent que, dans les régimes accessibles à l’observation astrophysique et locale, aucune variation significative n’est mise en évidence à ce niveau de précision.</w:t>
      </w:r>
    </w:p>
    <w:bookmarkEnd w:id="26"/>
    <w:bookmarkStart w:id="27" w:name="X08de553b9aa0a801f4a846909bbfb90935528a5"/>
    <w:p>
      <w:pPr>
        <w:pStyle w:val="Heading2"/>
      </w:pPr>
      <w:r>
        <w:t xml:space="preserve">7. Lecture par la grille des constantes effectives stabilisées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Critère</w:t>
            </w:r>
          </w:p>
        </w:tc>
        <w:tc>
          <w:tcPr/>
          <w:p>
            <w:pPr>
              <w:pStyle w:val="Compact"/>
            </w:pPr>
            <w:r>
              <w:t xml:space="preserve">Lecture pour (m_p/m_e)</w:t>
            </w:r>
          </w:p>
        </w:tc>
      </w:tr>
      <w:tr>
        <w:tc>
          <w:tcPr/>
          <w:p>
            <w:pPr>
              <w:pStyle w:val="Compact"/>
            </w:pPr>
            <w:r>
              <w:t xml:space="preserve">Type de grandeur</w:t>
            </w:r>
          </w:p>
        </w:tc>
        <w:tc>
          <w:tcPr/>
          <w:p>
            <w:pPr>
              <w:pStyle w:val="Compact"/>
            </w:pPr>
            <w:r>
              <w:t xml:space="preserve">Rapport sans dimension</w:t>
            </w:r>
          </w:p>
        </w:tc>
      </w:tr>
      <w:tr>
        <w:tc>
          <w:tcPr/>
          <w:p>
            <w:pPr>
              <w:pStyle w:val="Compact"/>
            </w:pPr>
            <w:r>
              <w:t xml:space="preserve">Valeur actuelle</w:t>
            </w:r>
          </w:p>
        </w:tc>
        <w:tc>
          <w:tcPr/>
          <w:p>
            <w:pPr>
              <w:pStyle w:val="Compact"/>
            </w:pPr>
            <w:r>
              <w:t xml:space="preserve">(</w:t>
            </w:r>
            <w:r>
              <w:t xml:space="preserve">152,673,426)</w:t>
            </w:r>
          </w:p>
        </w:tc>
      </w:tr>
      <w:tr>
        <w:tc>
          <w:tcPr/>
          <w:p>
            <w:pPr>
              <w:pStyle w:val="Compact"/>
            </w:pPr>
            <w:r>
              <w:t xml:space="preserve">Numérateur</w:t>
            </w:r>
          </w:p>
        </w:tc>
        <w:tc>
          <w:tcPr/>
          <w:p>
            <w:pPr>
              <w:pStyle w:val="Compact"/>
            </w:pPr>
            <w:r>
              <w:t xml:space="preserve">Masse du proton, dominée par la dynamique QCD</w:t>
            </w:r>
          </w:p>
        </w:tc>
      </w:tr>
      <w:tr>
        <w:tc>
          <w:tcPr/>
          <w:p>
            <w:pPr>
              <w:pStyle w:val="Compact"/>
            </w:pPr>
            <w:r>
              <w:t xml:space="preserve">Dénominateur</w:t>
            </w:r>
          </w:p>
        </w:tc>
        <w:tc>
          <w:tcPr/>
          <w:p>
            <w:pPr>
              <w:pStyle w:val="Compact"/>
            </w:pPr>
            <w:r>
              <w:t xml:space="preserve">Masse de l’électron, liée à (y_e v/</w:t>
            </w:r>
            <w:r>
              <w:t xml:space="preserve">)</w:t>
            </w:r>
          </w:p>
        </w:tc>
      </w:tr>
      <w:tr>
        <w:tc>
          <w:tcPr/>
          <w:p>
            <w:pPr>
              <w:pStyle w:val="Compact"/>
            </w:pPr>
            <w:r>
              <w:t xml:space="preserve">Régime requis pour (m_e)</w:t>
            </w:r>
          </w:p>
        </w:tc>
        <w:tc>
          <w:tcPr/>
          <w:p>
            <w:pPr>
              <w:pStyle w:val="Compact"/>
            </w:pPr>
            <w:r>
              <w:t xml:space="preserve">Régime électrofaible brisé</w:t>
            </w:r>
          </w:p>
        </w:tc>
      </w:tr>
      <w:tr>
        <w:tc>
          <w:tcPr/>
          <w:p>
            <w:pPr>
              <w:pStyle w:val="Compact"/>
            </w:pPr>
            <w:r>
              <w:t xml:space="preserve">Régime requis pour (m_p)</w:t>
            </w:r>
          </w:p>
        </w:tc>
        <w:tc>
          <w:tcPr/>
          <w:p>
            <w:pPr>
              <w:pStyle w:val="Compact"/>
            </w:pPr>
            <w:r>
              <w:t xml:space="preserve">Régime QCD confiné</w:t>
            </w:r>
          </w:p>
        </w:tc>
      </w:tr>
      <w:tr>
        <w:tc>
          <w:tcPr/>
          <w:p>
            <w:pPr>
              <w:pStyle w:val="Compact"/>
            </w:pPr>
            <w:r>
              <w:t xml:space="preserve">Statut théorique</w:t>
            </w:r>
          </w:p>
        </w:tc>
        <w:tc>
          <w:tcPr/>
          <w:p>
            <w:pPr>
              <w:pStyle w:val="Compact"/>
            </w:pPr>
            <w:r>
              <w:t xml:space="preserve">Rapport relationnel stratifié</w:t>
            </w:r>
          </w:p>
        </w:tc>
      </w:tr>
      <w:tr>
        <w:tc>
          <w:tcPr/>
          <w:p>
            <w:pPr>
              <w:pStyle w:val="Compact"/>
            </w:pPr>
            <w:r>
              <w:t xml:space="preserve">Rôle physique</w:t>
            </w:r>
          </w:p>
        </w:tc>
        <w:tc>
          <w:tcPr/>
          <w:p>
            <w:pPr>
              <w:pStyle w:val="Compact"/>
            </w:pPr>
            <w:r>
              <w:t xml:space="preserve">Hiérarchie électron/proton, physique atomique et moléculaire</w:t>
            </w:r>
          </w:p>
        </w:tc>
      </w:tr>
      <w:tr>
        <w:tc>
          <w:tcPr/>
          <w:p>
            <w:pPr>
              <w:pStyle w:val="Compact"/>
            </w:pPr>
            <w:r>
              <w:t xml:space="preserve">Test de stabilité</w:t>
            </w:r>
          </w:p>
        </w:tc>
        <w:tc>
          <w:tcPr/>
          <w:p>
            <w:pPr>
              <w:pStyle w:val="Compact"/>
            </w:pPr>
            <w:r>
              <w:t xml:space="preserve">Spectres moléculaires, horloges atomiques, cosmographie</w:t>
            </w:r>
          </w:p>
        </w:tc>
      </w:tr>
      <w:tr>
        <w:tc>
          <w:tcPr/>
          <w:p>
            <w:pPr>
              <w:pStyle w:val="Compact"/>
            </w:pPr>
            <w:r>
              <w:t xml:space="preserve">Question centrale</w:t>
            </w:r>
          </w:p>
        </w:tc>
        <w:tc>
          <w:tcPr/>
          <w:p>
            <w:pPr>
              <w:pStyle w:val="Compact"/>
            </w:pPr>
            <w:r>
              <w:t xml:space="preserve">Comment un rapport sans dimension peut-il condenser plusieurs régimes de stabilisation ?</w:t>
            </w:r>
          </w:p>
        </w:tc>
      </w:tr>
    </w:tbl>
    <w:bookmarkEnd w:id="27"/>
    <w:bookmarkStart w:id="28" w:name="formulation-provisoire"/>
    <w:p>
      <w:pPr>
        <w:pStyle w:val="Heading2"/>
      </w:pPr>
      <w:r>
        <w:t xml:space="preserve">8. Formulation provisoire</w:t>
      </w:r>
    </w:p>
    <w:p>
      <w:pPr>
        <w:pStyle w:val="FirstParagraph"/>
      </w:pPr>
      <w:r>
        <w:t xml:space="preserve">Le rapport (m_p/m_e) peut être compris comme une constante effective stabilisée relationnelle. Il est sans dimension, donc robuste du point de vue métrologique, mais il n’est pas simple du point de vue théorique. Il articule une masse électronique liée au régime électrofaible brisé et une masse protonique liée à la dynamique QCD confinée.</w:t>
      </w:r>
    </w:p>
    <w:p>
      <w:pPr>
        <w:pStyle w:val="BodyText"/>
      </w:pPr>
      <w:r>
        <w:t xml:space="preserve">La question pertinente devient donc :</w:t>
      </w:r>
    </w:p>
    <w:p>
      <w:pPr>
        <w:pStyle w:val="BodyText"/>
      </w:pPr>
      <w:r>
        <w:rPr>
          <w:b/>
          <w:bCs/>
        </w:rPr>
        <w:t xml:space="preserve">À quelles conditions le rapport (m_p/m_e) peut-il être traité comme une constante stable, alors qu’il met en relation deux masses issues de régimes physiques distincts ?</w:t>
      </w:r>
    </w:p>
    <w:bookmarkEnd w:id="28"/>
    <w:bookmarkStart w:id="29" w:name="X26ce6ccc34ddb298f9b279c2893ef37e6145b39"/>
    <w:p>
      <w:pPr>
        <w:pStyle w:val="Heading2"/>
      </w:pPr>
      <w:r>
        <w:t xml:space="preserve">9. Fonction de cette fiche dans l’enquête générale</w:t>
      </w:r>
    </w:p>
    <w:p>
      <w:pPr>
        <w:pStyle w:val="FirstParagraph"/>
      </w:pPr>
      <w:r>
        <w:t xml:space="preserve">La fiche (m_p/m_e) confirme que la grille ne se limite ni aux constantes sans dimension simples comme α, ni aux grandeurs dimensionnées comme (m_e). Elle permet d’introduire une catégorie plus fine : les constantes relationnelles stratifiées.</w:t>
      </w:r>
    </w:p>
    <w:p>
      <w:pPr>
        <w:pStyle w:val="BodyText"/>
      </w:pPr>
      <w:r>
        <w:t xml:space="preserve">Ce cas prépare directement la fiche suivante, consacrée à (</w:t>
      </w:r>
      <w:r>
        <w:rPr>
          <w:i/>
          <w:iCs/>
        </w:rPr>
        <w:t xml:space="preserve">s) ou (</w:t>
      </w:r>
      <w:r>
        <w:t xml:space="preserve">{</w:t>
      </w:r>
      <w:r>
        <w:t xml:space="preserve">}). Cette prochaine fiche devra isoler le rôle propre de QCD : dépendance d’échelle, confinement, anomalie de trace et stabilisation de l’échelle baryonique.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2026-07-08T17:16:13Z</dcterms:created>
  <dcterms:modified xsi:type="dcterms:W3CDTF">2026-07-08T17:16:13Z</dcterms:modified>
</cp:coreProperties>
</file>

<file path=docProps/custom.xml><?xml version="1.0" encoding="utf-8"?>
<Properties xmlns="http://schemas.openxmlformats.org/officeDocument/2006/custom-properties" xmlns:vt="http://schemas.openxmlformats.org/officeDocument/2006/docPropsVTypes"/>
</file>