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note-critique-de-compression-v0.1"/>
    <w:p>
      <w:pPr>
        <w:pStyle w:val="Heading1"/>
      </w:pPr>
      <w:r>
        <w:t xml:space="preserve">Note critique de compression v0.1</w:t>
      </w:r>
    </w:p>
    <w:bookmarkStart w:id="20" w:name="X188e18c669a1482649a64be7e1ec82e083935f8"/>
    <w:p>
      <w:pPr>
        <w:pStyle w:val="Heading2"/>
      </w:pPr>
      <w:r>
        <w:t xml:space="preserve">Fusionner, rétrograder, conserver : vers une taxonomie plus compacte</w:t>
      </w:r>
    </w:p>
    <w:bookmarkEnd w:id="20"/>
    <w:bookmarkStart w:id="21" w:name="fonction-de-la-note"/>
    <w:p>
      <w:pPr>
        <w:pStyle w:val="Heading2"/>
      </w:pPr>
      <w:r>
        <w:t xml:space="preserve">1. Fonction de la note</w:t>
      </w:r>
    </w:p>
    <w:p>
      <w:pPr>
        <w:pStyle w:val="FirstParagraph"/>
      </w:pPr>
      <w:r>
        <w:t xml:space="preserve">Cette note répond à une fragilité apparue dans les premières versions de la carte : la typologie des constantes effectives stabilisées risque de produire trop de catégories locales.</w:t>
      </w:r>
    </w:p>
    <w:p>
      <w:pPr>
        <w:pStyle w:val="BodyText"/>
      </w:pPr>
      <w:r>
        <w:t xml:space="preserve">Une taxonomie ne fait pas son travail si chaque cas exige sa propre case. Elle commence à fonctionner lorsqu’elle peut classer plusieurs grandeurs hétérogènes sous une même famille, tout en conservant assez de finesse pour distinguer leurs rôles locaux.</w:t>
      </w:r>
    </w:p>
    <w:p>
      <w:pPr>
        <w:pStyle w:val="BodyText"/>
      </w:pPr>
      <w:r>
        <w:t xml:space="preserve">La carte v0.3 a déjà introduit une correction importante : distinguer les</w:t>
      </w:r>
      <w:r>
        <w:t xml:space="preserve"> </w:t>
      </w:r>
      <w:r>
        <w:rPr>
          <w:b/>
          <w:bCs/>
        </w:rPr>
        <w:t xml:space="preserve">familles fonctionnelles supérieures</w:t>
      </w:r>
      <w:r>
        <w:t xml:space="preserve"> </w:t>
      </w:r>
      <w:r>
        <w:t xml:space="preserve">et les</w:t>
      </w:r>
      <w:r>
        <w:t xml:space="preserve"> </w:t>
      </w:r>
      <w:r>
        <w:rPr>
          <w:b/>
          <w:bCs/>
        </w:rPr>
        <w:t xml:space="preserve">sous-types locaux</w:t>
      </w:r>
      <w:r>
        <w:t xml:space="preserve">.</w:t>
      </w:r>
    </w:p>
    <w:p>
      <w:pPr>
        <w:pStyle w:val="BodyText"/>
      </w:pPr>
      <w:r>
        <w:t xml:space="preserve">Cette note applique ce principe de compression à deux zones sensibles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L’objectif n’est pas d’appauvrir la carte, mais de la rendre plus robuste.</w:t>
      </w:r>
    </w:p>
    <w:bookmarkEnd w:id="21"/>
    <w:bookmarkStart w:id="22" w:name="principe-de-compression"/>
    <w:p>
      <w:pPr>
        <w:pStyle w:val="Heading2"/>
      </w:pPr>
      <w:r>
        <w:t xml:space="preserve">2. Principe de compression</w:t>
      </w:r>
    </w:p>
    <w:p>
      <w:pPr>
        <w:pStyle w:val="FirstParagraph"/>
      </w:pPr>
      <w:r>
        <w:t xml:space="preserve">La règle principale est la suivante :</w:t>
      </w:r>
    </w:p>
    <w:p>
      <w:pPr>
        <w:pStyle w:val="BodyText"/>
      </w:pPr>
      <w:r>
        <w:rPr>
          <w:b/>
          <w:bCs/>
        </w:rPr>
        <w:t xml:space="preserve">Une catégorie doit être conservée comme famille supérieure seulement si elle peut accueillir plusieurs grandeurs hétérogènes sans perdre son pouvoir explicatif.</w:t>
      </w:r>
    </w:p>
    <w:p>
      <w:pPr>
        <w:pStyle w:val="BodyText"/>
      </w:pPr>
      <w:r>
        <w:t xml:space="preserve">Inversement :</w:t>
      </w:r>
    </w:p>
    <w:p>
      <w:pPr>
        <w:pStyle w:val="BodyText"/>
      </w:pPr>
      <w:r>
        <w:rPr>
          <w:b/>
          <w:bCs/>
        </w:rPr>
        <w:t xml:space="preserve">Une catégorie doit être rétrogradée en sous-type local si elle décrit surtout le rôle particulier d’une grandeur ou d’un secteur.</w:t>
      </w:r>
    </w:p>
    <w:p>
      <w:pPr>
        <w:pStyle w:val="BodyText"/>
      </w:pPr>
      <w:r>
        <w:t xml:space="preserve">Enfin :</w:t>
      </w:r>
    </w:p>
    <w:p>
      <w:pPr>
        <w:pStyle w:val="BodyText"/>
      </w:pPr>
      <w:r>
        <w:rPr>
          <w:b/>
          <w:bCs/>
        </w:rPr>
        <w:t xml:space="preserve">Deux catégories doivent être fusionnées si elles décrivent la même fonction générale sous des noms différents.</w:t>
      </w:r>
    </w:p>
    <w:p>
      <w:pPr>
        <w:pStyle w:val="BodyText"/>
      </w:pPr>
      <w:r>
        <w:t xml:space="preserve">La compression ne consiste donc pas à effacer les distinctions. Elle consiste à changer leur niveau.</w:t>
      </w:r>
    </w:p>
    <w:p>
      <w:pPr>
        <w:pStyle w:val="BodyText"/>
      </w:pPr>
      <w:r>
        <w:t xml:space="preserve">Une distinction locale peut être utile dans une fiche, mais inutile comme famille générale.</w:t>
      </w:r>
    </w:p>
    <w:bookmarkEnd w:id="22"/>
    <w:bookmarkStart w:id="23" w:name="état-actuel-des-familles-supérieures"/>
    <w:p>
      <w:pPr>
        <w:pStyle w:val="Heading2"/>
      </w:pPr>
      <w:r>
        <w:t xml:space="preserve">3. État actuel des familles supérieures</w:t>
      </w:r>
    </w:p>
    <w:p>
      <w:pPr>
        <w:pStyle w:val="FirstParagraph"/>
      </w:pPr>
      <w:r>
        <w:t xml:space="preserve">La carte v0.3 retient huit familles fonctionnelles supérieures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Famille supérieure</w:t>
            </w:r>
          </w:p>
        </w:tc>
        <w:tc>
          <w:tcPr/>
          <w:p>
            <w:pPr>
              <w:pStyle w:val="Compact"/>
            </w:pPr>
            <w:r>
              <w:t xml:space="preserve">Fonction générale</w:t>
            </w:r>
          </w:p>
        </w:tc>
      </w:tr>
      <w:tr>
        <w:tc>
          <w:tcPr/>
          <w:p>
            <w:pPr>
              <w:pStyle w:val="Compact"/>
            </w:pPr>
            <w:r>
              <w:t xml:space="preserve">Couplage</w:t>
            </w:r>
          </w:p>
        </w:tc>
        <w:tc>
          <w:tcPr/>
          <w:p>
            <w:pPr>
              <w:pStyle w:val="Compact"/>
            </w:pPr>
            <w:r>
              <w:t xml:space="preserve">Mesurer ou paramétrer une intensité d’interaction</w:t>
            </w:r>
          </w:p>
        </w:tc>
      </w:tr>
      <w:tr>
        <w:tc>
          <w:tcPr/>
          <w:p>
            <w:pPr>
              <w:pStyle w:val="Compact"/>
            </w:pPr>
            <w:r>
              <w:t xml:space="preserve">Échelle</w:t>
            </w:r>
          </w:p>
        </w:tc>
        <w:tc>
          <w:tcPr/>
          <w:p>
            <w:pPr>
              <w:pStyle w:val="Compact"/>
            </w:pPr>
            <w:r>
              <w:t xml:space="preserve">Fixer, révéler ou hiérarchiser une échelle physique</w:t>
            </w:r>
          </w:p>
        </w:tc>
      </w:tr>
      <w:tr>
        <w:tc>
          <w:tcPr/>
          <w:p>
            <w:pPr>
              <w:pStyle w:val="Compact"/>
            </w:pPr>
            <w:r>
              <w:t xml:space="preserve">Relation</w:t>
            </w:r>
          </w:p>
        </w:tc>
        <w:tc>
          <w:tcPr/>
          <w:p>
            <w:pPr>
              <w:pStyle w:val="Compact"/>
            </w:pPr>
            <w:r>
              <w:t xml:space="preserve">Relier des grandeurs, niveaux ou régimes distincts</w:t>
            </w:r>
          </w:p>
        </w:tc>
      </w:tr>
      <w:tr>
        <w:tc>
          <w:tcPr/>
          <w:p>
            <w:pPr>
              <w:pStyle w:val="Compact"/>
            </w:pPr>
            <w:r>
              <w:t xml:space="preserve">Raccordement</w:t>
            </w:r>
          </w:p>
        </w:tc>
        <w:tc>
          <w:tcPr/>
          <w:p>
            <w:pPr>
              <w:pStyle w:val="Compact"/>
            </w:pPr>
            <w:r>
              <w:t xml:space="preserve">Relier une description effective à une description plus complète</w:t>
            </w:r>
          </w:p>
        </w:tc>
      </w:tr>
      <w:tr>
        <w:tc>
          <w:tcPr/>
          <w:p>
            <w:pPr>
              <w:pStyle w:val="Compact"/>
            </w:pPr>
            <w:r>
              <w:t xml:space="preserve">Orientation</w:t>
            </w:r>
          </w:p>
        </w:tc>
        <w:tc>
          <w:tcPr/>
          <w:p>
            <w:pPr>
              <w:pStyle w:val="Compact"/>
            </w:pPr>
            <w:r>
              <w:t xml:space="preserve">Fixer un mélange, une projection ou une phase</w:t>
            </w:r>
          </w:p>
        </w:tc>
      </w:tr>
      <w:tr>
        <w:tc>
          <w:tcPr/>
          <w:p>
            <w:pPr>
              <w:pStyle w:val="Compact"/>
            </w:pPr>
            <w:r>
              <w:t xml:space="preserve">Fond</w:t>
            </w:r>
          </w:p>
        </w:tc>
        <w:tc>
          <w:tcPr/>
          <w:p>
            <w:pPr>
              <w:pStyle w:val="Compact"/>
            </w:pPr>
            <w:r>
              <w:t xml:space="preserve">Structurer une dynamique globale</w:t>
            </w:r>
          </w:p>
        </w:tc>
      </w:tr>
      <w:tr>
        <w:tc>
          <w:tcPr/>
          <w:p>
            <w:pPr>
              <w:pStyle w:val="Compact"/>
            </w:pPr>
            <w:r>
              <w:t xml:space="preserve">Seuil</w:t>
            </w:r>
          </w:p>
        </w:tc>
        <w:tc>
          <w:tcPr/>
          <w:p>
            <w:pPr>
              <w:pStyle w:val="Compact"/>
            </w:pPr>
            <w:r>
              <w:t xml:space="preserve">Fixer ou borner l’ancrage absolu d’un spectre</w:t>
            </w:r>
          </w:p>
        </w:tc>
      </w:tr>
      <w:tr>
        <w:tc>
          <w:tcPr/>
          <w:p>
            <w:pPr>
              <w:pStyle w:val="Compact"/>
            </w:pPr>
            <w:r>
              <w:t xml:space="preserve">Convention</w:t>
            </w:r>
          </w:p>
        </w:tc>
        <w:tc>
          <w:tcPr/>
          <w:p>
            <w:pPr>
              <w:pStyle w:val="Compact"/>
            </w:pPr>
            <w:r>
              <w:t xml:space="preserve">Définir exactement une unité ou une grandeur dérivée dans un système métrologique</w:t>
            </w:r>
          </w:p>
        </w:tc>
      </w:tr>
    </w:tbl>
    <w:p>
      <w:pPr>
        <w:pStyle w:val="BodyText"/>
      </w:pPr>
      <w:r>
        <w:t xml:space="preserve">Ces familles sont conservées provisoirement. Elles ne sont pas toutes également solides.</w:t>
      </w:r>
    </w:p>
    <w:p>
      <w:pPr>
        <w:pStyle w:val="BodyText"/>
      </w:pPr>
      <w:r>
        <w:t xml:space="preserve">Les plus robustes actuellement sont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Les plus fragiles ou à surveiller sont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Non parce qu’elles seraient mauvaises, mais parce qu’elles doivent encore prouver leur capacité à classer plusieurs cas hétérogènes.</w:t>
      </w:r>
    </w:p>
    <w:bookmarkEnd w:id="23"/>
    <w:bookmarkStart w:id="24" w:name="X8a2ea104ea469e259ed8d6908d46945a5e3871a"/>
    <w:p>
      <w:pPr>
        <w:pStyle w:val="Heading2"/>
      </w:pPr>
      <w:r>
        <w:t xml:space="preserve">4. Premier foyer critique : secteur Higgs et masses fermioniques</w:t>
      </w:r>
    </w:p>
    <w:p>
      <w:pPr>
        <w:pStyle w:val="FirstParagraph"/>
      </w:pPr>
      <w:r>
        <w:t xml:space="preserve">Les catégories issues du secteur électrofaible et du Higgs étaient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Ces catégories sont utiles localement, mais elles ne doivent pas toutes rester au même rang.</w:t>
      </w:r>
    </w:p>
    <w:p>
      <w:pPr>
        <w:pStyle w:val="BodyText"/>
      </w:pPr>
      <w:r>
        <w:t xml:space="preserve">Elles décrivent en réalité plusieurs aspects d’une même architecture :</w:t>
      </w:r>
    </w:p>
    <w:p>
      <w:pPr>
        <w:pStyle w:val="BodyText"/>
      </w:pPr>
      <w:r>
        <w:t xml:space="preserve">[</w:t>
      </w:r>
      <w:r>
        <w:t xml:space="preserve"> </w:t>
      </w:r>
      <w:r>
        <w:t xml:space="preserve">v</w:t>
      </w:r>
      <w:r>
        <w:t xml:space="preserve"> </w:t>
      </w:r>
      <w:r>
        <w:t xml:space="preserve">]</w:t>
      </w:r>
    </w:p>
    <w:p>
      <w:pPr>
        <w:pStyle w:val="BodyText"/>
      </w:pPr>
      <w:r>
        <w:t xml:space="preserve">fixe une échelle structurante,</w:t>
      </w:r>
    </w:p>
    <w:p>
      <w:pPr>
        <w:pStyle w:val="BodyText"/>
      </w:pPr>
      <w:r>
        <w:t xml:space="preserve">[</w:t>
      </w:r>
      <w:r>
        <w:t xml:space="preserve"> </w:t>
      </w:r>
      <w:r>
        <w:t xml:space="preserve">y_f</w:t>
      </w:r>
      <w:r>
        <w:t xml:space="preserve"> </w:t>
      </w:r>
      <w:r>
        <w:t xml:space="preserve">]</w:t>
      </w:r>
    </w:p>
    <w:p>
      <w:pPr>
        <w:pStyle w:val="BodyText"/>
      </w:pPr>
      <w:r>
        <w:t xml:space="preserve">distribue cette échelle entre les fermions,</w:t>
      </w:r>
    </w:p>
    <w:p>
      <w:pPr>
        <w:pStyle w:val="BodyText"/>
      </w:pPr>
      <w:r>
        <w:t xml:space="preserve">[</w:t>
      </w:r>
      <w:r>
        <w:t xml:space="preserve"> </w:t>
      </w:r>
      <w:r>
        <w:t xml:space="preserve">m_f =</w:t>
      </w:r>
      <w:r>
        <w:t xml:space="preserve"> </w:t>
      </w:r>
      <w:r>
        <w:t xml:space="preserve"> </w:t>
      </w:r>
      <w:r>
        <w:t xml:space="preserve">]</w:t>
      </w:r>
    </w:p>
    <w:p>
      <w:pPr>
        <w:pStyle w:val="BodyText"/>
      </w:pPr>
      <w:r>
        <w:t xml:space="preserve">résulte du régime électrofaible brisé,</w:t>
      </w:r>
    </w:p>
    <w:p>
      <w:pPr>
        <w:pStyle w:val="BodyText"/>
      </w:pPr>
      <w:r>
        <w:t xml:space="preserve">et les écarts entre masses expriment une hiérarchie encore non expliquée.</w:t>
      </w:r>
    </w:p>
    <w:p>
      <w:pPr>
        <w:pStyle w:val="BodyText"/>
      </w:pPr>
      <w:r>
        <w:t xml:space="preserve">La conclusion est donc :</w:t>
      </w:r>
    </w:p>
    <w:p>
      <w:pPr>
        <w:pStyle w:val="BodyText"/>
      </w:pPr>
      <w:r>
        <w:rPr>
          <w:b/>
          <w:bCs/>
        </w:rPr>
        <w:t xml:space="preserve">le secteur Higgs ne doit pas produire quatre familles indépendantes.</w:t>
      </w:r>
    </w:p>
    <w:p>
      <w:pPr>
        <w:pStyle w:val="BodyText"/>
      </w:pPr>
      <w:r>
        <w:t xml:space="preserve">Il doit être compressé autour de trois familles supérieures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24"/>
    <w:bookmarkStart w:id="25" w:name="Xafe4d487686d852a653459d0b66c09943c56ba9"/>
    <w:p>
      <w:pPr>
        <w:pStyle w:val="Heading2"/>
      </w:pPr>
      <w:r>
        <w:t xml:space="preserve">5. Compression proposée pour le secteur Higgs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Ancienne catégorie</w:t>
            </w:r>
          </w:p>
        </w:tc>
        <w:tc>
          <w:tcPr/>
          <w:p>
            <w:pPr>
              <w:pStyle w:val="Compact"/>
            </w:pPr>
            <w:r>
              <w:t xml:space="preserve">Décision</w:t>
            </w:r>
          </w:p>
        </w:tc>
        <w:tc>
          <w:tcPr/>
          <w:p>
            <w:pPr>
              <w:pStyle w:val="Compact"/>
            </w:pPr>
            <w:r>
              <w:t xml:space="preserve">Nouveau statut</w:t>
            </w:r>
          </w:p>
        </w:tc>
      </w:tr>
      <w:tr>
        <w:tc>
          <w:tcPr/>
          <w:p>
            <w:pPr>
              <w:pStyle w:val="Compact"/>
            </w:pPr>
            <w:r>
              <w:t xml:space="preserve">Constante de régime générateur</w:t>
            </w:r>
          </w:p>
        </w:tc>
        <w:tc>
          <w:tcPr/>
          <w:p>
            <w:pPr>
              <w:pStyle w:val="Compact"/>
            </w:pPr>
            <w:r>
              <w:t xml:space="preserve">Rétrograder / renommer</w:t>
            </w:r>
          </w:p>
        </w:tc>
        <w:tc>
          <w:tcPr/>
          <w:p>
            <w:pPr>
              <w:pStyle w:val="Compact"/>
            </w:pPr>
            <w:r>
              <w:t xml:space="preserve">Sous-type de la famille Échelle</w:t>
            </w:r>
          </w:p>
        </w:tc>
      </w:tr>
      <w:tr>
        <w:tc>
          <w:tcPr/>
          <w:p>
            <w:pPr>
              <w:pStyle w:val="Compact"/>
            </w:pPr>
            <w:r>
              <w:t xml:space="preserve">Constante structurante de régime</w:t>
            </w:r>
          </w:p>
        </w:tc>
        <w:tc>
          <w:tcPr/>
          <w:p>
            <w:pPr>
              <w:pStyle w:val="Compact"/>
            </w:pPr>
            <w:r>
              <w:t xml:space="preserve">Conserver comme nom préféré</w:t>
            </w:r>
          </w:p>
        </w:tc>
        <w:tc>
          <w:tcPr/>
          <w:p>
            <w:pPr>
              <w:pStyle w:val="Compact"/>
            </w:pPr>
            <w:r>
              <w:t xml:space="preserve">Sous-type de la famille Échelle</w:t>
            </w:r>
          </w:p>
        </w:tc>
      </w:tr>
      <w:tr>
        <w:tc>
          <w:tcPr/>
          <w:p>
            <w:pPr>
              <w:pStyle w:val="Compact"/>
            </w:pPr>
            <w:r>
              <w:t xml:space="preserve">Constante de différenciation fermionique</w:t>
            </w:r>
          </w:p>
        </w:tc>
        <w:tc>
          <w:tcPr/>
          <w:p>
            <w:pPr>
              <w:pStyle w:val="Compact"/>
            </w:pPr>
            <w:r>
              <w:t xml:space="preserve">Rétrograder</w:t>
            </w:r>
          </w:p>
        </w:tc>
        <w:tc>
          <w:tcPr/>
          <w:p>
            <w:pPr>
              <w:pStyle w:val="Compact"/>
            </w:pPr>
            <w:r>
              <w:t xml:space="preserve">Sous-type de Couplage / Relation</w:t>
            </w:r>
          </w:p>
        </w:tc>
      </w:tr>
      <w:tr>
        <w:tc>
          <w:tcPr/>
          <w:p>
            <w:pPr>
              <w:pStyle w:val="Compact"/>
            </w:pPr>
            <w:r>
              <w:t xml:space="preserve">Constante de régime brisé</w:t>
            </w:r>
          </w:p>
        </w:tc>
        <w:tc>
          <w:tcPr/>
          <w:p>
            <w:pPr>
              <w:pStyle w:val="Compact"/>
            </w:pPr>
            <w:r>
              <w:t xml:space="preserve">Rétrograder</w:t>
            </w:r>
          </w:p>
        </w:tc>
        <w:tc>
          <w:tcPr/>
          <w:p>
            <w:pPr>
              <w:pStyle w:val="Compact"/>
            </w:pPr>
            <w:r>
              <w:t xml:space="preserve">Condition de régime, non famille autonome</w:t>
            </w:r>
          </w:p>
        </w:tc>
      </w:tr>
      <w:tr>
        <w:tc>
          <w:tcPr/>
          <w:p>
            <w:pPr>
              <w:pStyle w:val="Compact"/>
            </w:pPr>
            <w:r>
              <w:t xml:space="preserve">Constante de hiérarchie d’échelle</w:t>
            </w:r>
          </w:p>
        </w:tc>
        <w:tc>
          <w:tcPr/>
          <w:p>
            <w:pPr>
              <w:pStyle w:val="Compact"/>
            </w:pPr>
            <w:r>
              <w:t xml:space="preserve">Rétrograder</w:t>
            </w:r>
          </w:p>
        </w:tc>
        <w:tc>
          <w:tcPr/>
          <w:p>
            <w:pPr>
              <w:pStyle w:val="Compact"/>
            </w:pPr>
            <w:r>
              <w:t xml:space="preserve">Sous-type de la famille Échelle</w:t>
            </w:r>
          </w:p>
        </w:tc>
      </w:tr>
    </w:tbl>
    <w:p>
      <w:pPr>
        <w:pStyle w:val="BodyText"/>
      </w:pPr>
      <w:r>
        <w:t xml:space="preserve">Le terme</w:t>
      </w:r>
      <w:r>
        <w:t xml:space="preserve"> </w:t>
      </w:r>
      <w:r>
        <w:rPr>
          <w:b/>
          <w:bCs/>
        </w:rPr>
        <w:t xml:space="preserve">constante de régime générateur</w:t>
      </w:r>
      <w:r>
        <w:t xml:space="preserve"> </w:t>
      </w:r>
      <w:r>
        <w:t xml:space="preserve">est trop fort. Il donne l’impression que (v)</w:t>
      </w:r>
      <w:r>
        <w:t xml:space="preserve"> </w:t>
      </w:r>
      <w:r>
        <w:t xml:space="preserve">“génère”</w:t>
      </w:r>
      <w:r>
        <w:t xml:space="preserve"> </w:t>
      </w:r>
      <w:r>
        <w:t xml:space="preserve">seul l’architecture des masses, alors que les masses fermioniques dépendent aussi des Yukawa.</w:t>
      </w:r>
    </w:p>
    <w:p>
      <w:pPr>
        <w:pStyle w:val="BodyText"/>
      </w:pPr>
      <w:r>
        <w:t xml:space="preserve">Le terme préféré devient :</w:t>
      </w:r>
    </w:p>
    <w:p>
      <w:pPr>
        <w:pStyle w:val="BodyText"/>
      </w:pPr>
      <w:r>
        <w:t xml:space="preserve">[</w:t>
      </w:r>
      <w:r>
        <w:t xml:space="preserve"> </w:t>
      </w:r>
      <w:r>
        <w:t xml:space="preserve"> </w:t>
      </w:r>
      <w:r>
        <w:t xml:space="preserve">]</w:t>
      </w:r>
    </w:p>
    <w:p>
      <w:pPr>
        <w:pStyle w:val="BodyText"/>
      </w:pPr>
      <w:r>
        <w:t xml:space="preserve">Il est plus sobre et plus précis.</w:t>
      </w:r>
    </w:p>
    <w:p>
      <w:pPr>
        <w:pStyle w:val="BodyText"/>
      </w:pPr>
      <w:r>
        <w:t xml:space="preserve">La masse de l’électron (m_e) ne doit pas être traitée comme une famille autonome. Elle est une masse stabilisée dans un régime brisé, mais sa structure théorique dépend de :</w:t>
      </w:r>
    </w:p>
    <w:p>
      <w:pPr>
        <w:pStyle w:val="BodyText"/>
      </w:pPr>
      <w:r>
        <w:t xml:space="preserve">[</w:t>
      </w:r>
      <w:r>
        <w:t xml:space="preserve"> </w:t>
      </w:r>
      <w:r>
        <w:t xml:space="preserve">m_e =</w:t>
      </w:r>
      <w:r>
        <w:t xml:space="preserve"> </w:t>
      </w:r>
      <w:r>
        <w:t xml:space="preserve"> </w:t>
      </w:r>
      <w:r>
        <w:t xml:space="preserve">]</w:t>
      </w:r>
    </w:p>
    <w:p>
      <w:pPr>
        <w:pStyle w:val="BodyText"/>
      </w:pPr>
      <w:r>
        <w:t xml:space="preserve">Le</w:t>
      </w:r>
      <w:r>
        <w:t xml:space="preserve"> </w:t>
      </w:r>
      <w:r>
        <w:t xml:space="preserve">“régime brisé”</w:t>
      </w:r>
      <w:r>
        <w:t xml:space="preserve"> </w:t>
      </w:r>
      <w:r>
        <w:t xml:space="preserve">est donc d’abord une</w:t>
      </w:r>
      <w:r>
        <w:t xml:space="preserve"> </w:t>
      </w:r>
      <w:r>
        <w:rPr>
          <w:b/>
          <w:bCs/>
        </w:rPr>
        <w:t xml:space="preserve">condition de définissabilité physique</w:t>
      </w:r>
      <w:r>
        <w:t xml:space="preserve">, pas une famille fonctionnelle supérieure.</w:t>
      </w:r>
    </w:p>
    <w:bookmarkEnd w:id="25"/>
    <w:bookmarkStart w:id="26" w:name="nouvelle-lecture-du-secteur-higgs"/>
    <w:p>
      <w:pPr>
        <w:pStyle w:val="Heading2"/>
      </w:pPr>
      <w:r>
        <w:t xml:space="preserve">6. Nouvelle lecture du secteur Higgs</w:t>
      </w:r>
    </w:p>
    <w:p>
      <w:pPr>
        <w:pStyle w:val="FirstParagraph"/>
      </w:pPr>
      <w:r>
        <w:t xml:space="preserve">Le secteur peut être reformulé ainsi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Grandeur</w:t>
            </w:r>
          </w:p>
        </w:tc>
        <w:tc>
          <w:tcPr/>
          <w:p>
            <w:pPr>
              <w:pStyle w:val="Compact"/>
            </w:pPr>
            <w:r>
              <w:t xml:space="preserve">Famille supérieure</w:t>
            </w:r>
          </w:p>
        </w:tc>
        <w:tc>
          <w:tcPr/>
          <w:p>
            <w:pPr>
              <w:pStyle w:val="Compact"/>
            </w:pPr>
            <w:r>
              <w:t xml:space="preserve">Sous-type</w:t>
            </w:r>
          </w:p>
        </w:tc>
        <w:tc>
          <w:tcPr/>
          <w:p>
            <w:pPr>
              <w:pStyle w:val="Compact"/>
            </w:pPr>
            <w:r>
              <w:t xml:space="preserve">Fonction</w:t>
            </w:r>
          </w:p>
        </w:tc>
      </w:tr>
      <w:tr>
        <w:tc>
          <w:tcPr/>
          <w:p>
            <w:pPr>
              <w:pStyle w:val="Compact"/>
            </w:pPr>
            <w:r>
              <w:t xml:space="preserve">(v)</w:t>
            </w:r>
          </w:p>
        </w:tc>
        <w:tc>
          <w:tcPr/>
          <w:p>
            <w:pPr>
              <w:pStyle w:val="Compact"/>
            </w:pPr>
            <w:r>
              <w:t xml:space="preserve">Échelle</w:t>
            </w:r>
          </w:p>
        </w:tc>
        <w:tc>
          <w:tcPr/>
          <w:p>
            <w:pPr>
              <w:pStyle w:val="Compact"/>
            </w:pPr>
            <w:r>
              <w:t xml:space="preserve">Constante structurante de régime</w:t>
            </w:r>
          </w:p>
        </w:tc>
        <w:tc>
          <w:tcPr/>
          <w:p>
            <w:pPr>
              <w:pStyle w:val="Compact"/>
            </w:pPr>
            <w:r>
              <w:t xml:space="preserve">Fixer l’échelle électrofaible</w:t>
            </w:r>
          </w:p>
        </w:tc>
      </w:tr>
      <w:tr>
        <w:tc>
          <w:tcPr/>
          <w:p>
            <w:pPr>
              <w:pStyle w:val="Compact"/>
            </w:pPr>
            <w:r>
              <w:t xml:space="preserve">(y_f)</w:t>
            </w:r>
          </w:p>
        </w:tc>
        <w:tc>
          <w:tcPr/>
          <w:p>
            <w:pPr>
              <w:pStyle w:val="Compact"/>
            </w:pPr>
            <w:r>
              <w:t xml:space="preserve">Couplage / Relation</w:t>
            </w:r>
          </w:p>
        </w:tc>
        <w:tc>
          <w:tcPr/>
          <w:p>
            <w:pPr>
              <w:pStyle w:val="Compact"/>
            </w:pPr>
            <w:r>
              <w:t xml:space="preserve">Constantes de différenciation fermionique</w:t>
            </w:r>
          </w:p>
        </w:tc>
        <w:tc>
          <w:tcPr/>
          <w:p>
            <w:pPr>
              <w:pStyle w:val="Compact"/>
            </w:pPr>
            <w:r>
              <w:t xml:space="preserve">Distribuer l’échelle (v) entre fermions</w:t>
            </w:r>
          </w:p>
        </w:tc>
      </w:tr>
      <w:tr>
        <w:tc>
          <w:tcPr/>
          <w:p>
            <w:pPr>
              <w:pStyle w:val="Compact"/>
            </w:pPr>
            <w:r>
              <w:t xml:space="preserve">(m_f)</w:t>
            </w:r>
          </w:p>
        </w:tc>
        <w:tc>
          <w:tcPr/>
          <w:p>
            <w:pPr>
              <w:pStyle w:val="Compact"/>
            </w:pPr>
            <w:r>
              <w:t xml:space="preserve">Relation / Échelle</w:t>
            </w:r>
          </w:p>
        </w:tc>
        <w:tc>
          <w:tcPr/>
          <w:p>
            <w:pPr>
              <w:pStyle w:val="Compact"/>
            </w:pPr>
            <w:r>
              <w:t xml:space="preserve">Masse de régime brisé</w:t>
            </w:r>
          </w:p>
        </w:tc>
        <w:tc>
          <w:tcPr/>
          <w:p>
            <w:pPr>
              <w:pStyle w:val="Compact"/>
            </w:pPr>
            <w:r>
              <w:t xml:space="preserve">Stabiliser une masse basse énergie</w:t>
            </w:r>
          </w:p>
        </w:tc>
      </w:tr>
      <w:tr>
        <w:tc>
          <w:tcPr/>
          <w:p>
            <w:pPr>
              <w:pStyle w:val="Compact"/>
            </w:pPr>
            <w:r>
              <w:t xml:space="preserve">(M_W,M_Z)</w:t>
            </w:r>
          </w:p>
        </w:tc>
        <w:tc>
          <w:tcPr/>
          <w:p>
            <w:pPr>
              <w:pStyle w:val="Compact"/>
            </w:pPr>
            <w:r>
              <w:t xml:space="preserve">Échelle / Relation</w:t>
            </w:r>
          </w:p>
        </w:tc>
        <w:tc>
          <w:tcPr/>
          <w:p>
            <w:pPr>
              <w:pStyle w:val="Compact"/>
            </w:pPr>
            <w:r>
              <w:t xml:space="preserve">Masses de jauge brisées</w:t>
            </w:r>
          </w:p>
        </w:tc>
        <w:tc>
          <w:tcPr/>
          <w:p>
            <w:pPr>
              <w:pStyle w:val="Compact"/>
            </w:pPr>
            <w:r>
              <w:t xml:space="preserve">Réaliser l’échelle électrofaible dans le secteur de jauge</w:t>
            </w:r>
          </w:p>
        </w:tc>
      </w:tr>
    </w:tbl>
    <w:p>
      <w:pPr>
        <w:pStyle w:val="BodyText"/>
      </w:pPr>
      <w:r>
        <w:t xml:space="preserve">Cette lecture est plus compacte. Elle conserve les distinctions physiques, mais évite de créer une famille pour chaque aspect.</w:t>
      </w:r>
    </w:p>
    <w:p>
      <w:pPr>
        <w:pStyle w:val="BodyText"/>
      </w:pPr>
      <w:r>
        <w:t xml:space="preserve">La fonction générale du secteur devient :</w:t>
      </w:r>
    </w:p>
    <w:p>
      <w:pPr>
        <w:pStyle w:val="BodyText"/>
      </w:pPr>
      <w:r>
        <w:rPr>
          <w:b/>
          <w:bCs/>
        </w:rPr>
        <w:t xml:space="preserve">installer une échelle structurante et distribuer cette échelle par des couplages différenciateurs.</w:t>
      </w:r>
    </w:p>
    <w:bookmarkEnd w:id="26"/>
    <w:bookmarkStart w:id="27" w:name="Xe7455c0fd3e8d9111bcc92ea77392d926f220d8"/>
    <w:p>
      <w:pPr>
        <w:pStyle w:val="Heading2"/>
      </w:pPr>
      <w:r>
        <w:t xml:space="preserve">7. Deuxième foyer critique : mélanges, oscillations et orientations</w:t>
      </w:r>
    </w:p>
    <w:p>
      <w:pPr>
        <w:pStyle w:val="FirstParagraph"/>
      </w:pPr>
      <w:r>
        <w:t xml:space="preserve">Le troisième cycle avait introduit plusieurs catégories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À première vue, elles sont trop nombreuses. Elles ont toutes été produites par le secteur neutrino. Le risque est donc celui d’un surajustement au cas PMNS.</w:t>
      </w:r>
    </w:p>
    <w:p>
      <w:pPr>
        <w:pStyle w:val="BodyText"/>
      </w:pPr>
      <w:r>
        <w:t xml:space="preserve">La carte v0.3 a déjà proposé de les relire comme sous-types d’une famille plus générale :</w:t>
      </w:r>
    </w:p>
    <w:p>
      <w:pPr>
        <w:pStyle w:val="BodyText"/>
      </w:pPr>
      <w:r>
        <w:t xml:space="preserve">[</w:t>
      </w:r>
      <w:r>
        <w:t xml:space="preserve"> </w:t>
      </w:r>
      <w:r>
        <w:t xml:space="preserve"> </w:t>
      </w:r>
      <w:r>
        <w:t xml:space="preserve">]</w:t>
      </w:r>
    </w:p>
    <w:p>
      <w:pPr>
        <w:pStyle w:val="BodyText"/>
      </w:pPr>
      <w:r>
        <w:t xml:space="preserve">Cette décision doit être confirmée.</w:t>
      </w:r>
    </w:p>
    <w:p>
      <w:pPr>
        <w:pStyle w:val="BodyText"/>
      </w:pPr>
      <w:r>
        <w:t xml:space="preserve">Les paramètres neutrino ne doivent pas créer trois familles indépendantes. Ils décrivent trois modes locaux d’une même fonction générale :</w:t>
      </w:r>
    </w:p>
    <w:p>
      <w:pPr>
        <w:pStyle w:val="BodyText"/>
      </w:pPr>
      <w:r>
        <w:rPr>
          <w:b/>
          <w:bCs/>
        </w:rPr>
        <w:t xml:space="preserve">stabiliser la structure de passage entre bases, états ou processus.</w:t>
      </w:r>
    </w:p>
    <w:bookmarkEnd w:id="27"/>
    <w:bookmarkStart w:id="28" w:name="Xe9495c39238ce1da25d24412b6d8a347a4441e3"/>
    <w:p>
      <w:pPr>
        <w:pStyle w:val="Heading2"/>
      </w:pPr>
      <w:r>
        <w:t xml:space="preserve">8. Compression proposée pour le secteur des mélanges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Ancienne catégorie</w:t>
            </w:r>
          </w:p>
        </w:tc>
        <w:tc>
          <w:tcPr/>
          <w:p>
            <w:pPr>
              <w:pStyle w:val="Compact"/>
            </w:pPr>
            <w:r>
              <w:t xml:space="preserve">Décision</w:t>
            </w:r>
          </w:p>
        </w:tc>
        <w:tc>
          <w:tcPr/>
          <w:p>
            <w:pPr>
              <w:pStyle w:val="Compact"/>
            </w:pPr>
            <w:r>
              <w:t xml:space="preserve">Nouveau statut</w:t>
            </w:r>
          </w:p>
        </w:tc>
      </w:tr>
      <w:tr>
        <w:tc>
          <w:tcPr/>
          <w:p>
            <w:pPr>
              <w:pStyle w:val="Compact"/>
            </w:pPr>
            <w:r>
              <w:t xml:space="preserve">Constante de mélange de jauge</w:t>
            </w:r>
          </w:p>
        </w:tc>
        <w:tc>
          <w:tcPr/>
          <w:p>
            <w:pPr>
              <w:pStyle w:val="Compact"/>
            </w:pPr>
            <w:r>
              <w:t xml:space="preserve">Conserver comme sous-type</w:t>
            </w:r>
          </w:p>
        </w:tc>
        <w:tc>
          <w:tcPr/>
          <w:p>
            <w:pPr>
              <w:pStyle w:val="Compact"/>
            </w:pPr>
            <w:r>
              <w:t xml:space="preserve">Orientation entre champs de jauge</w:t>
            </w:r>
          </w:p>
        </w:tc>
      </w:tr>
      <w:tr>
        <w:tc>
          <w:tcPr/>
          <w:p>
            <w:pPr>
              <w:pStyle w:val="Compact"/>
            </w:pPr>
            <w:r>
              <w:t xml:space="preserve">Constante de projection oscillatoire</w:t>
            </w:r>
          </w:p>
        </w:tc>
        <w:tc>
          <w:tcPr/>
          <w:p>
            <w:pPr>
              <w:pStyle w:val="Compact"/>
            </w:pPr>
            <w:r>
              <w:t xml:space="preserve">Rétrograder</w:t>
            </w:r>
          </w:p>
        </w:tc>
        <w:tc>
          <w:tcPr/>
          <w:p>
            <w:pPr>
              <w:pStyle w:val="Compact"/>
            </w:pPr>
            <w:r>
              <w:t xml:space="preserve">Orientation entre base de saveur et base de masse</w:t>
            </w:r>
          </w:p>
        </w:tc>
      </w:tr>
      <w:tr>
        <w:tc>
          <w:tcPr/>
          <w:p>
            <w:pPr>
              <w:pStyle w:val="Compact"/>
            </w:pPr>
            <w:r>
              <w:t xml:space="preserve">Constante de phase oscillatoire</w:t>
            </w:r>
          </w:p>
        </w:tc>
        <w:tc>
          <w:tcPr/>
          <w:p>
            <w:pPr>
              <w:pStyle w:val="Compact"/>
            </w:pPr>
            <w:r>
              <w:t xml:space="preserve">Rétrograder / déplacer</w:t>
            </w:r>
          </w:p>
        </w:tc>
        <w:tc>
          <w:tcPr/>
          <w:p>
            <w:pPr>
              <w:pStyle w:val="Compact"/>
            </w:pPr>
            <w:r>
              <w:t xml:space="preserve">Transition par déphasage</w:t>
            </w:r>
          </w:p>
        </w:tc>
      </w:tr>
      <w:tr>
        <w:tc>
          <w:tcPr/>
          <w:p>
            <w:pPr>
              <w:pStyle w:val="Compact"/>
            </w:pPr>
            <w:r>
              <w:t xml:space="preserve">Constante de phase d’asymétrie</w:t>
            </w:r>
          </w:p>
        </w:tc>
        <w:tc>
          <w:tcPr/>
          <w:p>
            <w:pPr>
              <w:pStyle w:val="Compact"/>
            </w:pPr>
            <w:r>
              <w:t xml:space="preserve">Rétrograder</w:t>
            </w:r>
          </w:p>
        </w:tc>
        <w:tc>
          <w:tcPr/>
          <w:p>
            <w:pPr>
              <w:pStyle w:val="Compact"/>
            </w:pPr>
            <w:r>
              <w:t xml:space="preserve">Orientation complexe CP</w:t>
            </w:r>
          </w:p>
        </w:tc>
      </w:tr>
      <w:tr>
        <w:tc>
          <w:tcPr/>
          <w:p>
            <w:pPr>
              <w:pStyle w:val="Compact"/>
            </w:pPr>
            <w:r>
              <w:t xml:space="preserve">Constante de seuil spectral</w:t>
            </w:r>
          </w:p>
        </w:tc>
        <w:tc>
          <w:tcPr/>
          <w:p>
            <w:pPr>
              <w:pStyle w:val="Compact"/>
            </w:pPr>
            <w:r>
              <w:t xml:space="preserve">Conserver provisoirement</w:t>
            </w:r>
          </w:p>
        </w:tc>
        <w:tc>
          <w:tcPr/>
          <w:p>
            <w:pPr>
              <w:pStyle w:val="Compact"/>
            </w:pPr>
            <w:r>
              <w:t xml:space="preserve">Famille Seuil, à tester</w:t>
            </w:r>
          </w:p>
        </w:tc>
      </w:tr>
    </w:tbl>
    <w:p>
      <w:pPr>
        <w:pStyle w:val="BodyText"/>
      </w:pPr>
      <w:r>
        <w:t xml:space="preserve">La famille supérieure devient :</w:t>
      </w:r>
    </w:p>
    <w:p>
      <w:pPr>
        <w:pStyle w:val="BodyText"/>
      </w:pPr>
      <w:r>
        <w:t xml:space="preserve">[</w:t>
      </w:r>
      <w:r>
        <w:t xml:space="preserve"> </w:t>
      </w:r>
      <w:r>
        <w:t xml:space="preserve"> </w:t>
      </w:r>
      <w:r>
        <w:t xml:space="preserve">]</w:t>
      </w:r>
    </w:p>
    <w:p>
      <w:pPr>
        <w:pStyle w:val="BodyText"/>
      </w:pPr>
      <w:r>
        <w:t xml:space="preserve">Elle couvre :</w:t>
      </w:r>
    </w:p>
    <w:p>
      <w:pPr>
        <w:pStyle w:val="BodyText"/>
      </w:pPr>
      <w:r>
        <w:t xml:space="preserve">[</w:t>
      </w:r>
      <w:r>
        <w:t xml:space="preserve"> </w:t>
      </w:r>
      <w:r>
        <w:t xml:space="preserve">_W</w:t>
      </w:r>
      <w:r>
        <w:t xml:space="preserve"> </w:t>
      </w:r>
      <w:r>
        <w:t xml:space="preserve">]</w:t>
      </w:r>
    </w:p>
    <w:p>
      <w:pPr>
        <w:pStyle w:val="BodyText"/>
      </w:pPr>
      <w:r>
        <w:t xml:space="preserve">comme orientation entre champs électrofaibles neutres,</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comme orientation entre base de saveur et base de masse,</w:t>
      </w:r>
    </w:p>
    <w:p>
      <w:pPr>
        <w:pStyle w:val="BodyText"/>
      </w:pPr>
      <w:r>
        <w:t xml:space="preserve">[</w:t>
      </w:r>
      <w:r>
        <w:t xml:space="preserve"> </w:t>
      </w:r>
      <w:r>
        <w:t xml:space="preserve">_{</w:t>
      </w:r>
      <w:r>
        <w:t xml:space="preserve">}</w:t>
      </w:r>
      <w:r>
        <w:t xml:space="preserve"> </w:t>
      </w:r>
      <w:r>
        <w:t xml:space="preserve">]</w:t>
      </w:r>
    </w:p>
    <w:p>
      <w:pPr>
        <w:pStyle w:val="BodyText"/>
      </w:pPr>
      <w:r>
        <w:t xml:space="preserve">comme orientation complexe liée à l’asymétrie CP,</w:t>
      </w:r>
    </w:p>
    <w:p>
      <w:pPr>
        <w:pStyle w:val="BodyText"/>
      </w:pPr>
      <w:r>
        <w:t xml:space="preserve">et probablement plus tard :</w:t>
      </w:r>
    </w:p>
    <w:p>
      <w:pPr>
        <w:pStyle w:val="BodyText"/>
      </w:pPr>
      <w:r>
        <w:t xml:space="preserve">[</w:t>
      </w:r>
      <w:r>
        <w:t xml:space="preserve"> </w:t>
      </w:r>
      <w:r>
        <w:rPr>
          <w:i/>
          <w:iCs/>
        </w:rPr>
        <w:t xml:space="preserve">{12}</w:t>
      </w:r>
      <w:r>
        <w:rPr>
          <w:i/>
          <w:iCs/>
          <w:vertAlign w:val="superscript"/>
        </w:rPr>
        <w:t xml:space="preserve">{</w:t>
      </w:r>
      <w:r>
        <w:rPr>
          <w:i/>
          <w:iCs/>
          <w:vertAlign w:val="superscript"/>
        </w:rPr>
        <w:t xml:space="preserve">},</w:t>
      </w:r>
      <w:r>
        <w:rPr>
          <w:i/>
          <w:i/>
          <w:iCs/>
          <w:iCs/>
          <w:vertAlign w:val="superscript"/>
        </w:rPr>
        <w:t xml:space="preserve">{23}^{</w:t>
      </w:r>
      <w:r>
        <w:rPr>
          <w:i/>
          <w:i/>
          <w:iCs/>
          <w:iCs/>
          <w:vertAlign w:val="superscript"/>
        </w:rPr>
        <w:t xml:space="preserve">},</w:t>
      </w:r>
      <w:r>
        <w:rPr>
          <w:i/>
          <w:iCs/>
          <w:vertAlign w:val="superscript"/>
        </w:rPr>
        <w:t xml:space="preserve">{13}</w:t>
      </w:r>
      <w:r>
        <w:rPr>
          <w:i/>
          <w:iCs/>
        </w:rPr>
        <w:t xml:space="preserve">{</w:t>
      </w:r>
      <w:r>
        <w:rPr>
          <w:i/>
          <w:iCs/>
        </w:rPr>
        <w:t xml:space="preserve">},</w:t>
      </w:r>
      <w:r>
        <w:t xml:space="preserve">{</w:t>
      </w:r>
      <w:r>
        <w:t xml:space="preserve">}</w:t>
      </w:r>
      <w:r>
        <w:t xml:space="preserve"> </w:t>
      </w:r>
      <w:r>
        <w:t xml:space="preserve">]</w:t>
      </w:r>
    </w:p>
    <w:p>
      <w:pPr>
        <w:pStyle w:val="BodyText"/>
      </w:pPr>
      <w:r>
        <w:t xml:space="preserve">comme orientation dans le secteur quark.</w:t>
      </w:r>
    </w:p>
    <w:p>
      <w:pPr>
        <w:pStyle w:val="BodyText"/>
      </w:pPr>
      <w:r>
        <w:t xml:space="preserve">Cette extension au CKM sera le test décisif. Si CKM peut être classé dans la même famille sans forcer la grille, la compression est réussie.</w:t>
      </w:r>
    </w:p>
    <w:bookmarkEnd w:id="28"/>
    <w:bookmarkStart w:id="29" w:name="cas-particulier-de-m2"/>
    <w:p>
      <w:pPr>
        <w:pStyle w:val="Heading2"/>
      </w:pPr>
      <w:r>
        <w:t xml:space="preserve">9. Cas particulier de (</w:t>
      </w:r>
      <w:r>
        <w:t xml:space="preserve">m^2)</w:t>
      </w:r>
    </w:p>
    <w:p>
      <w:pPr>
        <w:pStyle w:val="FirstParagraph"/>
      </w:pPr>
      <w:r>
        <w:t xml:space="preserve">Les différences de masses au carré :</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w:t>
      </w:r>
      <w:r>
        <w:t xml:space="preserve">}</w:t>
      </w:r>
      <w:r>
        <w:t xml:space="preserve"> </w:t>
      </w:r>
      <w:r>
        <w:t xml:space="preserve">]</w:t>
      </w:r>
    </w:p>
    <w:p>
      <w:pPr>
        <w:pStyle w:val="BodyText"/>
      </w:pPr>
      <w:r>
        <w:t xml:space="preserve">posent un cas particulier.</w:t>
      </w:r>
    </w:p>
    <w:p>
      <w:pPr>
        <w:pStyle w:val="BodyText"/>
      </w:pPr>
      <w:r>
        <w:t xml:space="preserve">Elles avaient été classées comme :</w:t>
      </w:r>
    </w:p>
    <w:p>
      <w:pPr>
        <w:pStyle w:val="BodyText"/>
      </w:pPr>
      <w:r>
        <w:t xml:space="preserve">[</w:t>
      </w:r>
      <w:r>
        <w:t xml:space="preserve"> </w:t>
      </w:r>
      <w:r>
        <w:t xml:space="preserve"> </w:t>
      </w:r>
      <w:r>
        <w:t xml:space="preserve">]</w:t>
      </w:r>
    </w:p>
    <w:p>
      <w:pPr>
        <w:pStyle w:val="BodyText"/>
      </w:pPr>
      <w:r>
        <w:t xml:space="preserve">Mais cette catégorie mélange deux plans.</w:t>
      </w:r>
    </w:p>
    <w:p>
      <w:pPr>
        <w:pStyle w:val="BodyText"/>
      </w:pPr>
      <w:r>
        <w:t xml:space="preserve">Physiquement, (</w:t>
      </w:r>
      <w:r>
        <w:t xml:space="preserve">m^2) est une différence spectrale.</w:t>
      </w:r>
    </w:p>
    <w:p>
      <w:pPr>
        <w:pStyle w:val="BodyText"/>
      </w:pPr>
      <w:r>
        <w:t xml:space="preserve">Phénoménologiquement, elle stabilise un rythme de déphasage dans les oscillations.</w:t>
      </w:r>
    </w:p>
    <w:p>
      <w:pPr>
        <w:pStyle w:val="BodyText"/>
      </w:pPr>
      <w:r>
        <w:t xml:space="preserve">Il faut donc la classer plus prudemment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Axe</w:t>
            </w:r>
          </w:p>
        </w:tc>
        <w:tc>
          <w:tcPr/>
          <w:p>
            <w:pPr>
              <w:pStyle w:val="Compact"/>
            </w:pPr>
            <w:r>
              <w:t xml:space="preserve">Lecture</w:t>
            </w:r>
          </w:p>
        </w:tc>
      </w:tr>
      <w:tr>
        <w:tc>
          <w:tcPr/>
          <w:p>
            <w:pPr>
              <w:pStyle w:val="Compact"/>
            </w:pPr>
            <w:r>
              <w:t xml:space="preserve">Type logique</w:t>
            </w:r>
          </w:p>
        </w:tc>
        <w:tc>
          <w:tcPr/>
          <w:p>
            <w:pPr>
              <w:pStyle w:val="Compact"/>
            </w:pPr>
            <w:r>
              <w:t xml:space="preserve">Différence spectrale</w:t>
            </w:r>
          </w:p>
        </w:tc>
      </w:tr>
      <w:tr>
        <w:tc>
          <w:tcPr/>
          <w:p>
            <w:pPr>
              <w:pStyle w:val="Compact"/>
            </w:pPr>
            <w:r>
              <w:t xml:space="preserve">Famille supérieure</w:t>
            </w:r>
          </w:p>
        </w:tc>
        <w:tc>
          <w:tcPr/>
          <w:p>
            <w:pPr>
              <w:pStyle w:val="Compact"/>
            </w:pPr>
            <w:r>
              <w:t xml:space="preserve">Seuil / relation spectrale</w:t>
            </w:r>
          </w:p>
        </w:tc>
      </w:tr>
      <w:tr>
        <w:tc>
          <w:tcPr/>
          <w:p>
            <w:pPr>
              <w:pStyle w:val="Compact"/>
            </w:pPr>
            <w:r>
              <w:t xml:space="preserve">Sous-type phénoménologique</w:t>
            </w:r>
          </w:p>
        </w:tc>
        <w:tc>
          <w:tcPr/>
          <w:p>
            <w:pPr>
              <w:pStyle w:val="Compact"/>
            </w:pPr>
            <w:r>
              <w:t xml:space="preserve">Constante de phase oscillatoire</w:t>
            </w:r>
          </w:p>
        </w:tc>
      </w:tr>
      <w:tr>
        <w:tc>
          <w:tcPr/>
          <w:p>
            <w:pPr>
              <w:pStyle w:val="Compact"/>
            </w:pPr>
            <w:r>
              <w:t xml:space="preserve">Fonction observable</w:t>
            </w:r>
          </w:p>
        </w:tc>
        <w:tc>
          <w:tcPr/>
          <w:p>
            <w:pPr>
              <w:pStyle w:val="Compact"/>
            </w:pPr>
            <w:r>
              <w:t xml:space="preserve">Stabiliser un rythme de déphasage</w:t>
            </w:r>
          </w:p>
        </w:tc>
      </w:tr>
    </w:tbl>
    <w:p>
      <w:pPr>
        <w:pStyle w:val="BodyText"/>
      </w:pPr>
      <w:r>
        <w:t xml:space="preserve">Autrement dit,</w:t>
      </w:r>
      <w:r>
        <w:t xml:space="preserve"> </w:t>
      </w:r>
      <w:r>
        <w:t xml:space="preserve">“phase oscillatoire”</w:t>
      </w:r>
      <w:r>
        <w:t xml:space="preserve"> </w:t>
      </w:r>
      <w:r>
        <w:t xml:space="preserve">ne doit pas être une famille générale. C’est la manière dont une différence spectrale devient observable dans le régime oscillatoire.</w:t>
      </w:r>
    </w:p>
    <w:p>
      <w:pPr>
        <w:pStyle w:val="BodyText"/>
      </w:pPr>
      <w:r>
        <w:t xml:space="preserve">La catégorie supérieure n’est pas encore totalement stabilisée. Elle pourrait relever de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p>
      <w:pPr>
        <w:pStyle w:val="BodyText"/>
      </w:pPr>
      <w:r>
        <w:t xml:space="preserve">Il faut la garder sous surveillance.</w:t>
      </w:r>
    </w:p>
    <w:bookmarkEnd w:id="29"/>
    <w:bookmarkStart w:id="30" w:name="X5c90419f727c168287ba5f6e9131b51a1ed6faf"/>
    <w:p>
      <w:pPr>
        <w:pStyle w:val="Heading2"/>
      </w:pPr>
      <w:r>
        <w:t xml:space="preserve">10. Cas particulier de la masse absolue des neutrinos</w:t>
      </w:r>
    </w:p>
    <w:p>
      <w:pPr>
        <w:pStyle w:val="FirstParagraph"/>
      </w:pPr>
      <w:r>
        <w:t xml:space="preserve">La catégorie :</w:t>
      </w:r>
    </w:p>
    <w:p>
      <w:pPr>
        <w:pStyle w:val="BodyText"/>
      </w:pPr>
      <w:r>
        <w:t xml:space="preserve">[</w:t>
      </w:r>
      <w:r>
        <w:t xml:space="preserve"> </w:t>
      </w:r>
      <w:r>
        <w:t xml:space="preserve"> </w:t>
      </w:r>
      <w:r>
        <w:t xml:space="preserve">]</w:t>
      </w:r>
    </w:p>
    <w:p>
      <w:pPr>
        <w:pStyle w:val="BodyText"/>
      </w:pPr>
      <w:r>
        <w:t xml:space="preserve">est plus robuste que les sous-types oscillatoires, parce qu’elle décrit une fonction plus générale :</w:t>
      </w:r>
    </w:p>
    <w:p>
      <w:pPr>
        <w:pStyle w:val="BodyText"/>
      </w:pPr>
      <w:r>
        <w:t xml:space="preserve">[</w:t>
      </w:r>
      <w:r>
        <w:t xml:space="preserve"> </w:t>
      </w:r>
      <w:r>
        <w:t xml:space="preserve"> </w:t>
      </w:r>
      <w:r>
        <w:t xml:space="preserve">]</w:t>
      </w:r>
    </w:p>
    <w:p>
      <w:pPr>
        <w:pStyle w:val="BodyText"/>
      </w:pPr>
      <w:r>
        <w:t xml:space="preserve">Elle peut potentiellement accueillir d’autres cas.</w:t>
      </w:r>
    </w:p>
    <w:p>
      <w:pPr>
        <w:pStyle w:val="BodyText"/>
      </w:pPr>
      <w:r>
        <w:t xml:space="preserve">Par exemple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Mais elle reste provisoire. Elle doit être conservée comme famille candidate, non comme famille définitivement acquise.</w:t>
      </w:r>
    </w:p>
    <w:p>
      <w:pPr>
        <w:pStyle w:val="BodyText"/>
      </w:pPr>
      <w:r>
        <w:t xml:space="preserve">Décision :</w:t>
      </w:r>
    </w:p>
    <w:p>
      <w:pPr>
        <w:pStyle w:val="BodyText"/>
      </w:pPr>
      <w:r>
        <w:rPr>
          <w:b/>
          <w:bCs/>
        </w:rPr>
        <w:t xml:space="preserve">conserver</w:t>
      </w:r>
      <w:r>
        <w:rPr>
          <w:b/>
          <w:bCs/>
        </w:rPr>
        <w:t xml:space="preserve"> </w:t>
      </w:r>
      <w:r>
        <w:rPr>
          <w:b/>
          <w:bCs/>
        </w:rPr>
        <w:t xml:space="preserve">“Seuil”</w:t>
      </w:r>
      <w:r>
        <w:rPr>
          <w:b/>
          <w:bCs/>
        </w:rPr>
        <w:t xml:space="preserve"> </w:t>
      </w:r>
      <w:r>
        <w:rPr>
          <w:b/>
          <w:bCs/>
        </w:rPr>
        <w:t xml:space="preserve">comme famille supérieure provisoire, mais exiger qu’elle accueille d’autres cas au prochain test pertinent.</w:t>
      </w:r>
    </w:p>
    <w:bookmarkEnd w:id="30"/>
    <w:bookmarkStart w:id="31" w:name="Xde4069c67e94f1b3a1fe89f2f170a66a5fcc7bb"/>
    <w:p>
      <w:pPr>
        <w:pStyle w:val="Heading2"/>
      </w:pPr>
      <w:r>
        <w:t xml:space="preserve">11. Troisième foyer critique : relation et raccordement</w:t>
      </w:r>
    </w:p>
    <w:p>
      <w:pPr>
        <w:pStyle w:val="FirstParagraph"/>
      </w:pPr>
      <w:r>
        <w:t xml:space="preserve">Les familles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sont proches, mais ne doivent pas être confondues.</w:t>
      </w:r>
    </w:p>
    <w:p>
      <w:pPr>
        <w:pStyle w:val="BodyText"/>
      </w:pPr>
      <w:r>
        <w:t xml:space="preserve">Une</w:t>
      </w:r>
      <w:r>
        <w:t xml:space="preserve"> </w:t>
      </w:r>
      <w:r>
        <w:rPr>
          <w:b/>
          <w:bCs/>
        </w:rPr>
        <w:t xml:space="preserve">relation</w:t>
      </w:r>
      <w:r>
        <w:t xml:space="preserve"> </w:t>
      </w:r>
      <w:r>
        <w:t xml:space="preserve">met en rapport deux grandeurs, niveaux ou descriptions.</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R=N_Ak_B</w:t>
      </w:r>
      <w:r>
        <w:t xml:space="preserve"> </w:t>
      </w:r>
      <w:r>
        <w:t xml:space="preserve">]</w:t>
      </w:r>
    </w:p>
    <w:p>
      <w:pPr>
        <w:pStyle w:val="BodyText"/>
      </w:pPr>
      <w:r>
        <w:t xml:space="preserve">[</w:t>
      </w:r>
      <w:r>
        <w:t xml:space="preserve"> </w:t>
      </w:r>
      <w:r>
        <w:t xml:space="preserve">m_f=</w:t>
      </w:r>
      <w:r>
        <w:t xml:space="preserve"> </w:t>
      </w:r>
      <w:r>
        <w:t xml:space="preserve">]</w:t>
      </w:r>
    </w:p>
    <w:p>
      <w:pPr>
        <w:pStyle w:val="BodyText"/>
      </w:pPr>
      <w:r>
        <w:t xml:space="preserve">Un</w:t>
      </w:r>
      <w:r>
        <w:t xml:space="preserve"> </w:t>
      </w:r>
      <w:r>
        <w:rPr>
          <w:b/>
          <w:bCs/>
        </w:rPr>
        <w:t xml:space="preserve">raccordement</w:t>
      </w:r>
      <w:r>
        <w:t xml:space="preserve"> </w:t>
      </w:r>
      <w:r>
        <w:t xml:space="preserve">relie explicitement une description effective à une description plus complète.</w:t>
      </w:r>
    </w:p>
    <w:p>
      <w:pPr>
        <w:pStyle w:val="BodyText"/>
      </w:pPr>
      <w:r>
        <w:t xml:space="preserve">Exemple :</w:t>
      </w:r>
    </w:p>
    <w:p>
      <w:pPr>
        <w:pStyle w:val="BodyText"/>
      </w:pPr>
      <w:r>
        <w:t xml:space="preserve">[</w:t>
      </w:r>
      <w:r>
        <w:t xml:space="preserve"> </w:t>
      </w:r>
      <w:r>
        <w:t xml:space="preserve">G_F</w:t>
      </w:r>
      <w:r>
        <w:t xml:space="preserve"> </w:t>
      </w:r>
      <w:r>
        <w:t xml:space="preserve">]</w:t>
      </w:r>
    </w:p>
    <w:p>
      <w:pPr>
        <w:pStyle w:val="BodyText"/>
      </w:pPr>
      <w:r>
        <w:t xml:space="preserve">qui relie l’interaction faible à quatre fermions au régime électrofaible avec bosons (W) et (Z).</w:t>
      </w:r>
    </w:p>
    <w:p>
      <w:pPr>
        <w:pStyle w:val="BodyText"/>
      </w:pPr>
      <w:r>
        <w:t xml:space="preserve">La différence est donc :</w:t>
      </w:r>
    </w:p>
    <w:p>
      <w:pPr>
        <w:pStyle w:val="BodyText"/>
      </w:pPr>
      <w:r>
        <w:t xml:space="preserve">[</w:t>
      </w:r>
      <w:r>
        <w:t xml:space="preserve"> </w:t>
      </w:r>
      <w:r>
        <w:t xml:space="preserve"> </w:t>
      </w:r>
      <w:r>
        <w:t xml:space="preserve">= mise en rapport}</w:t>
      </w:r>
      <w:r>
        <w:t xml:space="preserve"> </w:t>
      </w:r>
      <w:r>
        <w:t xml:space="preserve">]</w:t>
      </w:r>
    </w:p>
    <w:p>
      <w:pPr>
        <w:pStyle w:val="BodyText"/>
      </w:pPr>
      <w:r>
        <w:t xml:space="preserve">[</w:t>
      </w:r>
      <w:r>
        <w:t xml:space="preserve"> </w:t>
      </w:r>
      <w:r>
        <w:t xml:space="preserve"> </w:t>
      </w:r>
      <w:r>
        <w:t xml:space="preserve">= passage contrôlé entre descriptions}</w:t>
      </w:r>
      <w:r>
        <w:t xml:space="preserve"> </w:t>
      </w:r>
      <w:r>
        <w:t xml:space="preserve">]</w:t>
      </w:r>
    </w:p>
    <w:p>
      <w:pPr>
        <w:pStyle w:val="BodyText"/>
      </w:pPr>
      <w:r>
        <w:t xml:space="preserve">La famille</w:t>
      </w:r>
      <w:r>
        <w:t xml:space="preserve"> </w:t>
      </w:r>
      <w:r>
        <w:t xml:space="preserve">“Raccordement”</w:t>
      </w:r>
      <w:r>
        <w:t xml:space="preserve"> </w:t>
      </w:r>
      <w:r>
        <w:t xml:space="preserve">doit être conservée, car elle a une fonction méthodologique forte. Elle oblige à préciser le domaine de validité d’une théorie effective.</w:t>
      </w:r>
    </w:p>
    <w:p>
      <w:pPr>
        <w:pStyle w:val="BodyText"/>
      </w:pPr>
      <w:r>
        <w:t xml:space="preserve">La famille</w:t>
      </w:r>
      <w:r>
        <w:t xml:space="preserve"> </w:t>
      </w:r>
      <w:r>
        <w:t xml:space="preserve">“Relation”</w:t>
      </w:r>
      <w:r>
        <w:t xml:space="preserve"> </w:t>
      </w:r>
      <w:r>
        <w:t xml:space="preserve">doit être surveillée, car elle est très large. Elle risque de devenir un fourre-tout.</w:t>
      </w:r>
    </w:p>
    <w:bookmarkEnd w:id="31"/>
    <w:bookmarkStart w:id="32" w:name="X536f19e549ff531538ec6cda369625bd4de7013"/>
    <w:p>
      <w:pPr>
        <w:pStyle w:val="Heading2"/>
      </w:pPr>
      <w:r>
        <w:t xml:space="preserve">12. Compression proposée : relation comme méta-famille faible</w:t>
      </w:r>
    </w:p>
    <w:p>
      <w:pPr>
        <w:pStyle w:val="FirstParagraph"/>
      </w:pPr>
      <w:r>
        <w:t xml:space="preserve">La famille</w:t>
      </w:r>
      <w:r>
        <w:t xml:space="preserve"> </w:t>
      </w:r>
      <w:r>
        <w:t xml:space="preserve">“Relation”</w:t>
      </w:r>
      <w:r>
        <w:t xml:space="preserve"> </w:t>
      </w:r>
      <w:r>
        <w:t xml:space="preserve">doit être traitée comme une famille faible ou transversale.</w:t>
      </w:r>
    </w:p>
    <w:p>
      <w:pPr>
        <w:pStyle w:val="BodyText"/>
      </w:pPr>
      <w:r>
        <w:t xml:space="preserve">Elle est utile, mais souvent insuffisante seule. Une grandeur relationnelle doit recevoir une seconde qualification.</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est une relation stratifiée entre régimes physiques.</w:t>
      </w:r>
    </w:p>
    <w:p>
      <w:pPr>
        <w:pStyle w:val="BodyText"/>
      </w:pPr>
      <w:r>
        <w:t xml:space="preserve">[</w:t>
      </w:r>
      <w:r>
        <w:t xml:space="preserve"> </w:t>
      </w:r>
      <w:r>
        <w:t xml:space="preserve">R=N_Ak_B</w:t>
      </w:r>
      <w:r>
        <w:t xml:space="preserve"> </w:t>
      </w:r>
      <w:r>
        <w:t xml:space="preserve">]</w:t>
      </w:r>
    </w:p>
    <w:p>
      <w:pPr>
        <w:pStyle w:val="BodyText"/>
      </w:pPr>
      <w:r>
        <w:t xml:space="preserve">est une relation par composition métrologique et thermodynamique.</w:t>
      </w:r>
    </w:p>
    <w:p>
      <w:pPr>
        <w:pStyle w:val="BodyText"/>
      </w:pPr>
      <w:r>
        <w:t xml:space="preserve">[</w:t>
      </w:r>
      <w:r>
        <w:t xml:space="preserve"> </w:t>
      </w:r>
      <w:r>
        <w:t xml:space="preserve">m_f=</w:t>
      </w:r>
      <w:r>
        <w:t xml:space="preserve"> </w:t>
      </w:r>
      <w:r>
        <w:t xml:space="preserve">]</w:t>
      </w:r>
    </w:p>
    <w:p>
      <w:pPr>
        <w:pStyle w:val="BodyText"/>
      </w:pPr>
      <w:r>
        <w:t xml:space="preserve">est une relation de génération de masse dans le régime électrofaible brisé.</w:t>
      </w:r>
    </w:p>
    <w:p>
      <w:pPr>
        <w:pStyle w:val="BodyText"/>
      </w:pPr>
      <w:r>
        <w:t xml:space="preserve">Donc la règle devient :</w:t>
      </w:r>
    </w:p>
    <w:p>
      <w:pPr>
        <w:pStyle w:val="BodyText"/>
      </w:pPr>
      <w:r>
        <w:rPr>
          <w:b/>
          <w:bCs/>
        </w:rPr>
        <w:t xml:space="preserve">“Relation”</w:t>
      </w:r>
      <w:r>
        <w:rPr>
          <w:b/>
          <w:bCs/>
        </w:rPr>
        <w:t xml:space="preserve"> </w:t>
      </w:r>
      <w:r>
        <w:rPr>
          <w:b/>
          <w:bCs/>
        </w:rPr>
        <w:t xml:space="preserve">ne doit presque jamais être le dernier mot du classement.</w:t>
      </w:r>
    </w:p>
    <w:p>
      <w:pPr>
        <w:pStyle w:val="BodyText"/>
      </w:pPr>
      <w:r>
        <w:t xml:space="preserve">Elle doit être précisée par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32"/>
    <w:bookmarkStart w:id="33" w:name="X75f77064e4bf176ed2d9c69214aa05fb55facfb"/>
    <w:p>
      <w:pPr>
        <w:pStyle w:val="Heading2"/>
      </w:pPr>
      <w:r>
        <w:t xml:space="preserve">13. Quatrième foyer critique : constante de fond cosmologique</w:t>
      </w:r>
    </w:p>
    <w:p>
      <w:pPr>
        <w:pStyle w:val="FirstParagraph"/>
      </w:pPr>
      <w:r>
        <w:t xml:space="preserve">La famille :</w:t>
      </w:r>
    </w:p>
    <w:p>
      <w:pPr>
        <w:pStyle w:val="BodyText"/>
      </w:pPr>
      <w:r>
        <w:t xml:space="preserve">[</w:t>
      </w:r>
      <w:r>
        <w:t xml:space="preserve"> </w:t>
      </w:r>
      <w:r>
        <w:t xml:space="preserve"> </w:t>
      </w:r>
      <w:r>
        <w:t xml:space="preserve">]</w:t>
      </w:r>
    </w:p>
    <w:p>
      <w:pPr>
        <w:pStyle w:val="BodyText"/>
      </w:pPr>
      <w:r>
        <w:t xml:space="preserve">est actuellement portée principalement par :</w:t>
      </w:r>
    </w:p>
    <w:p>
      <w:pPr>
        <w:pStyle w:val="BodyText"/>
      </w:pPr>
      <w:r>
        <w:t xml:space="preserve">[</w:t>
      </w:r>
      <w:r>
        <w:t xml:space="preserve"> </w:t>
      </w:r>
      <w:r>
        <w:t xml:space="preserve"> </w:t>
      </w:r>
      <w:r>
        <w:t xml:space="preserve">]</w:t>
      </w:r>
    </w:p>
    <w:p>
      <w:pPr>
        <w:pStyle w:val="BodyText"/>
      </w:pPr>
      <w:r>
        <w:t xml:space="preserve">C’est une faiblesse taxonomique. Une famille portée par un seul cas doit rester suspecte.</w:t>
      </w:r>
    </w:p>
    <w:p>
      <w:pPr>
        <w:pStyle w:val="BodyText"/>
      </w:pPr>
      <w:r>
        <w:t xml:space="preserve">Mais (</w:t>
      </w:r>
      <w:r>
        <w:t xml:space="preserve">) est suffisamment particulière pour justifier une case provisoire. Elle n’est ni un simple couplage, ni une échelle locale, ni un coefficient effectif ordinaire. Elle intervient comme terme uniforme dans la dynamique globale de l’espace-temps.</w:t>
      </w:r>
    </w:p>
    <w:p>
      <w:pPr>
        <w:pStyle w:val="BodyText"/>
      </w:pPr>
      <w:r>
        <w:t xml:space="preserve">Décision :</w:t>
      </w:r>
    </w:p>
    <w:p>
      <w:pPr>
        <w:pStyle w:val="BodyText"/>
      </w:pPr>
      <w:r>
        <w:rPr>
          <w:b/>
          <w:bCs/>
        </w:rPr>
        <w:t xml:space="preserve">conserver</w:t>
      </w:r>
      <w:r>
        <w:rPr>
          <w:b/>
          <w:bCs/>
        </w:rPr>
        <w:t xml:space="preserve"> </w:t>
      </w:r>
      <w:r>
        <w:rPr>
          <w:b/>
          <w:bCs/>
        </w:rPr>
        <w:t xml:space="preserve">“Fond”</w:t>
      </w:r>
      <w:r>
        <w:rPr>
          <w:b/>
          <w:bCs/>
        </w:rPr>
        <w:t xml:space="preserve"> </w:t>
      </w:r>
      <w:r>
        <w:rPr>
          <w:b/>
          <w:bCs/>
        </w:rPr>
        <w:t xml:space="preserve">comme famille provisoire, mais la marquer comme monoplace pour l’instant.</w:t>
      </w:r>
    </w:p>
    <w:p>
      <w:pPr>
        <w:pStyle w:val="BodyText"/>
      </w:pPr>
      <w:r>
        <w:t xml:space="preserve">Elle devra être testée par d’autres cas cosmologiques ou gravitationnels :</w:t>
      </w:r>
    </w:p>
    <w:p>
      <w:pPr>
        <w:pStyle w:val="BodyText"/>
      </w:pPr>
      <w:r>
        <w:t xml:space="preserve">[</w:t>
      </w:r>
      <w:r>
        <w:t xml:space="preserve"> </w:t>
      </w:r>
      <w:r>
        <w:t xml:space="preserve">H_0</w:t>
      </w:r>
      <w:r>
        <w:t xml:space="preserve"> </w:t>
      </w:r>
      <w:r>
        <w:t xml:space="preserve">]</w:t>
      </w:r>
    </w:p>
    <w:p>
      <w:pPr>
        <w:pStyle w:val="BodyText"/>
      </w:pPr>
      <w:r>
        <w:t xml:space="preserve">[</w:t>
      </w:r>
      <w:r>
        <w:t xml:space="preserve"> </w:t>
      </w:r>
      <w:r>
        <w:t xml:space="preserve">_</w:t>
      </w:r>
      <w:r>
        <w:t xml:space="preserve"> </w:t>
      </w:r>
      <w:r>
        <w:t xml:space="preserve">]</w:t>
      </w:r>
    </w:p>
    <w:p>
      <w:pPr>
        <w:pStyle w:val="BodyText"/>
      </w:pPr>
      <w:r>
        <w:t xml:space="preserve">[</w:t>
      </w:r>
      <w:r>
        <w:t xml:space="preserve"> </w:t>
      </w:r>
      <w:r>
        <w:t xml:space="preserve">w</w:t>
      </w:r>
      <w:r>
        <w:t xml:space="preserve"> </w:t>
      </w:r>
      <w:r>
        <w:t xml:space="preserve">]</w:t>
      </w:r>
    </w:p>
    <w:p>
      <w:pPr>
        <w:pStyle w:val="BodyText"/>
      </w:pPr>
      <w:r>
        <w:t xml:space="preserve">[</w:t>
      </w:r>
      <w:r>
        <w:t xml:space="preserve"> </w:t>
      </w:r>
      <w:r>
        <w:t xml:space="preserve">A_s</w:t>
      </w:r>
      <w:r>
        <w:t xml:space="preserve"> </w:t>
      </w:r>
      <w:r>
        <w:t xml:space="preserve">]</w:t>
      </w:r>
    </w:p>
    <w:p>
      <w:pPr>
        <w:pStyle w:val="BodyText"/>
      </w:pPr>
      <w:r>
        <w:t xml:space="preserve">ou par des constantes liées au fond cosmologique et aux conditions initiales.</w:t>
      </w:r>
    </w:p>
    <w:p>
      <w:pPr>
        <w:pStyle w:val="BodyText"/>
      </w:pPr>
      <w:r>
        <w:t xml:space="preserve">Mais ce test doit être différé, car le domaine cosmologique risque de faire exploser la carte.</w:t>
      </w:r>
    </w:p>
    <w:bookmarkEnd w:id="33"/>
    <w:bookmarkStart w:id="34" w:name="cinquième-foyer-critique-convention"/>
    <w:p>
      <w:pPr>
        <w:pStyle w:val="Heading2"/>
      </w:pPr>
      <w:r>
        <w:t xml:space="preserve">14. Cinquième foyer critique : convention</w:t>
      </w:r>
    </w:p>
    <w:p>
      <w:pPr>
        <w:pStyle w:val="FirstParagraph"/>
      </w:pPr>
      <w:r>
        <w:t xml:space="preserve">La famille :</w:t>
      </w:r>
    </w:p>
    <w:p>
      <w:pPr>
        <w:pStyle w:val="BodyText"/>
      </w:pPr>
      <w:r>
        <w:t xml:space="preserve">[</w:t>
      </w:r>
      <w:r>
        <w:t xml:space="preserve"> </w:t>
      </w:r>
      <w:r>
        <w:t xml:space="preserve"> </w:t>
      </w:r>
      <w:r>
        <w:t xml:space="preserve">]</w:t>
      </w:r>
    </w:p>
    <w:p>
      <w:pPr>
        <w:pStyle w:val="BodyText"/>
      </w:pPr>
      <w:r>
        <w:t xml:space="preserve">est robuste après le cycle 4.</w:t>
      </w:r>
    </w:p>
    <w:p>
      <w:pPr>
        <w:pStyle w:val="BodyText"/>
      </w:pPr>
      <w:r>
        <w:t xml:space="preserve">Elle accueille déjà plusieurs cas :</w:t>
      </w:r>
    </w:p>
    <w:p>
      <w:pPr>
        <w:pStyle w:val="BodyText"/>
      </w:pPr>
      <w:r>
        <w:t xml:space="preserve">[</w:t>
      </w:r>
      <w:r>
        <w:t xml:space="preserve"> </w:t>
      </w:r>
      <w:r>
        <w:t xml:space="preserve">k_B</w:t>
      </w:r>
      <w:r>
        <w:t xml:space="preserve"> </w:t>
      </w:r>
      <w:r>
        <w:t xml:space="preserve">]</w:t>
      </w:r>
    </w:p>
    <w:p>
      <w:pPr>
        <w:pStyle w:val="BodyText"/>
      </w:pPr>
      <w:r>
        <w:t xml:space="preserve">[</w:t>
      </w:r>
      <w:r>
        <w:t xml:space="preserve"> </w:t>
      </w:r>
      <w:r>
        <w:t xml:space="preserve">N_A</w:t>
      </w:r>
      <w:r>
        <w:t xml:space="preserve"> </w:t>
      </w:r>
      <w:r>
        <w:t xml:space="preserve">]</w:t>
      </w:r>
    </w:p>
    <w:p>
      <w:pPr>
        <w:pStyle w:val="BodyText"/>
      </w:pPr>
      <w:r>
        <w:t xml:space="preserve">[</w:t>
      </w:r>
      <w:r>
        <w:t xml:space="preserve"> </w:t>
      </w:r>
      <w:r>
        <w:t xml:space="preserve">R</w:t>
      </w:r>
      <w:r>
        <w:t xml:space="preserve"> </w:t>
      </w:r>
      <w:r>
        <w:t xml:space="preserve">]</w:t>
      </w:r>
    </w:p>
    <w:p>
      <w:pPr>
        <w:pStyle w:val="BodyText"/>
      </w:pPr>
      <w:r>
        <w:t xml:space="preserve">et elle peut naturellement accueillir :</w:t>
      </w:r>
    </w:p>
    <w:p>
      <w:pPr>
        <w:pStyle w:val="BodyText"/>
      </w:pPr>
      <w:r>
        <w:t xml:space="preserve">[</w:t>
      </w:r>
      <w:r>
        <w:t xml:space="preserve"> </w:t>
      </w:r>
      <w:r>
        <w:t xml:space="preserve">h,</w:t>
      </w:r>
      <w:r>
        <w:t xml:space="preserve">e,</w:t>
      </w:r>
      <w:r>
        <w:t xml:space="preserve">c,</w:t>
      </w:r>
      <w:r>
        <w:t xml:space="preserve">_{</w:t>
      </w:r>
      <w:r>
        <w:t xml:space="preserve">}</w:t>
      </w:r>
      <w:r>
        <w:t xml:space="preserve"> </w:t>
      </w:r>
      <w:r>
        <w:t xml:space="preserve">]</w:t>
      </w:r>
    </w:p>
    <w:p>
      <w:pPr>
        <w:pStyle w:val="BodyText"/>
      </w:pPr>
      <w:r>
        <w:t xml:space="preserve">Elle compresse bien, car elle distingue deux 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famille doit être conservée.</w:t>
      </w:r>
    </w:p>
    <w:p>
      <w:pPr>
        <w:pStyle w:val="BodyText"/>
      </w:pPr>
      <w:r>
        <w:t xml:space="preserve">Elle a aussi une valeur méthodologique forte : elle empêche de confondre exactitude numérique et mesure empirique infiniment précise.</w:t>
      </w:r>
    </w:p>
    <w:bookmarkEnd w:id="34"/>
    <w:bookmarkStart w:id="39" w:name="décisions-de-compression-v0.1"/>
    <w:p>
      <w:pPr>
        <w:pStyle w:val="Heading2"/>
      </w:pPr>
      <w:r>
        <w:t xml:space="preserve">15. Décisions de compression v0.1</w:t>
      </w:r>
    </w:p>
    <w:p>
      <w:pPr>
        <w:pStyle w:val="FirstParagraph"/>
      </w:pPr>
      <w:r>
        <w:t xml:space="preserve">Les décisions provisoires sont les suivantes.</w:t>
      </w:r>
    </w:p>
    <w:bookmarkStart w:id="35" w:name="familles-supérieures-conservées"/>
    <w:p>
      <w:pPr>
        <w:pStyle w:val="Heading3"/>
      </w:pPr>
      <w:r>
        <w:t xml:space="preserve">15.1 Familles supérieures conservées</w:t>
      </w:r>
    </w:p>
    <w:p>
      <w:pPr>
        <w:pStyle w:val="FirstParagraph"/>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Ces familles ont déjà montré une bonne capacité de compression.</w:t>
      </w:r>
    </w:p>
    <w:bookmarkEnd w:id="35"/>
    <w:bookmarkStart w:id="36" w:name="X8b80446015702f28793eaafec474869ffe4d947"/>
    <w:p>
      <w:pPr>
        <w:pStyle w:val="Heading3"/>
      </w:pPr>
      <w:r>
        <w:t xml:space="preserve">15.2 Familles supérieures conservées mais surveillées</w:t>
      </w:r>
    </w:p>
    <w:p>
      <w:pPr>
        <w:pStyle w:val="FirstParagraph"/>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Elles sont conceptuellement utiles, mais encore portées par peu de cas.</w:t>
      </w:r>
    </w:p>
    <w:bookmarkEnd w:id="36"/>
    <w:bookmarkStart w:id="37" w:name="famille-transversale-à-surveiller"/>
    <w:p>
      <w:pPr>
        <w:pStyle w:val="Heading3"/>
      </w:pPr>
      <w:r>
        <w:t xml:space="preserve">15.3 Famille transversale à surveiller</w:t>
      </w:r>
    </w:p>
    <w:p>
      <w:pPr>
        <w:pStyle w:val="FirstParagraph"/>
      </w:pPr>
      <w:r>
        <w:t xml:space="preserve">[</w:t>
      </w:r>
      <w:r>
        <w:t xml:space="preserve"> </w:t>
      </w:r>
      <w:r>
        <w:t xml:space="preserve"> </w:t>
      </w:r>
      <w:r>
        <w:t xml:space="preserve">]</w:t>
      </w:r>
    </w:p>
    <w:p>
      <w:pPr>
        <w:pStyle w:val="BodyText"/>
      </w:pPr>
      <w:r>
        <w:t xml:space="preserve">Elle est nécessaire, mais trop large. Elle doit être utilisée avec une qualification secondaire.</w:t>
      </w:r>
    </w:p>
    <w:bookmarkEnd w:id="37"/>
    <w:bookmarkStart w:id="38" w:name="catégories-rétrogradées-en-sous-types"/>
    <w:p>
      <w:pPr>
        <w:pStyle w:val="Heading3"/>
      </w:pPr>
      <w:r>
        <w:t xml:space="preserve">15.4 Catégories rétrogradées en sous-types</w:t>
      </w:r>
    </w:p>
    <w:p>
      <w:pPr>
        <w:pStyle w:val="FirstParagraph"/>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Ces catégories restent utiles localement, mais ne doivent plus être présentées comme familles générales.</w:t>
      </w:r>
    </w:p>
    <w:bookmarkEnd w:id="38"/>
    <w:bookmarkEnd w:id="39"/>
    <w:bookmarkStart w:id="40" w:name="nouvelle-carte-compressée-provisoire"/>
    <w:p>
      <w:pPr>
        <w:pStyle w:val="Heading2"/>
      </w:pPr>
      <w:r>
        <w:t xml:space="preserve">16. Nouvelle carte compressée provisoire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Famille supérieure</w:t>
            </w:r>
          </w:p>
        </w:tc>
        <w:tc>
          <w:tcPr/>
          <w:p>
            <w:pPr>
              <w:pStyle w:val="Compact"/>
            </w:pPr>
            <w:r>
              <w:t xml:space="preserve">Sous-types actuels</w:t>
            </w:r>
          </w:p>
        </w:tc>
        <w:tc>
          <w:tcPr/>
          <w:p>
            <w:pPr>
              <w:pStyle w:val="Compact"/>
            </w:pPr>
            <w:r>
              <w:t xml:space="preserve">Exemples</w:t>
            </w:r>
          </w:p>
        </w:tc>
      </w:tr>
      <w:tr>
        <w:tc>
          <w:tcPr/>
          <w:p>
            <w:pPr>
              <w:pStyle w:val="Compact"/>
            </w:pPr>
            <w:r>
              <w:t xml:space="preserve">Couplage</w:t>
            </w:r>
          </w:p>
        </w:tc>
        <w:tc>
          <w:tcPr/>
          <w:p>
            <w:pPr>
              <w:pStyle w:val="Compact"/>
            </w:pPr>
            <w:r>
              <w:t xml:space="preserve">stabilisé, courant, différenciateur</w:t>
            </w:r>
          </w:p>
        </w:tc>
        <w:tc>
          <w:tcPr/>
          <w:p>
            <w:pPr>
              <w:pStyle w:val="Compact"/>
            </w:pPr>
            <w:r>
              <w:t xml:space="preserve">(</w:t>
            </w:r>
            <w:r>
              <w:t xml:space="preserve">), (</w:t>
            </w:r>
            <w:r>
              <w:t xml:space="preserve">_s), (y_f)</w:t>
            </w:r>
          </w:p>
        </w:tc>
      </w:tr>
      <w:tr>
        <w:tc>
          <w:tcPr/>
          <w:p>
            <w:pPr>
              <w:pStyle w:val="Compact"/>
            </w:pPr>
            <w:r>
              <w:t xml:space="preserve">Échelle</w:t>
            </w:r>
          </w:p>
        </w:tc>
        <w:tc>
          <w:tcPr/>
          <w:p>
            <w:pPr>
              <w:pStyle w:val="Compact"/>
            </w:pPr>
            <w:r>
              <w:t xml:space="preserve">structurante, dynamique, hiérarchique</w:t>
            </w:r>
          </w:p>
        </w:tc>
        <w:tc>
          <w:tcPr/>
          <w:p>
            <w:pPr>
              <w:pStyle w:val="Compact"/>
            </w:pPr>
            <w:r>
              <w:t xml:space="preserve">(v), (</w:t>
            </w:r>
            <w:r>
              <w:rPr>
                <w:i/>
                <w:iCs/>
              </w:rPr>
              <w:t xml:space="preserve">{</w:t>
            </w:r>
            <w:r>
              <w:rPr>
                <w:i/>
                <w:iCs/>
              </w:rPr>
              <w:t xml:space="preserve">}), (M</w:t>
            </w:r>
            <w:r>
              <w:t xml:space="preserve">{</w:t>
            </w:r>
            <w:r>
              <w:t xml:space="preserve">})</w:t>
            </w:r>
          </w:p>
        </w:tc>
      </w:tr>
      <w:tr>
        <w:tc>
          <w:tcPr/>
          <w:p>
            <w:pPr>
              <w:pStyle w:val="Compact"/>
            </w:pPr>
            <w:r>
              <w:t xml:space="preserve">Relation</w:t>
            </w:r>
          </w:p>
        </w:tc>
        <w:tc>
          <w:tcPr/>
          <w:p>
            <w:pPr>
              <w:pStyle w:val="Compact"/>
            </w:pPr>
            <w:r>
              <w:t xml:space="preserve">stratifiée, compositionnelle, spectrale</w:t>
            </w:r>
          </w:p>
        </w:tc>
        <w:tc>
          <w:tcPr/>
          <w:p>
            <w:pPr>
              <w:pStyle w:val="Compact"/>
            </w:pPr>
            <w:r>
              <w:t xml:space="preserve">(m_p/m_e), (R), (</w:t>
            </w:r>
            <w:r>
              <w:t xml:space="preserve">m^2)</w:t>
            </w:r>
          </w:p>
        </w:tc>
      </w:tr>
      <w:tr>
        <w:tc>
          <w:tcPr/>
          <w:p>
            <w:pPr>
              <w:pStyle w:val="Compact"/>
            </w:pPr>
            <w:r>
              <w:t xml:space="preserve">Raccordement</w:t>
            </w:r>
          </w:p>
        </w:tc>
        <w:tc>
          <w:tcPr/>
          <w:p>
            <w:pPr>
              <w:pStyle w:val="Compact"/>
            </w:pPr>
            <w:r>
              <w:t xml:space="preserve">effectif, basse énergie, EFT</w:t>
            </w:r>
          </w:p>
        </w:tc>
        <w:tc>
          <w:tcPr/>
          <w:p>
            <w:pPr>
              <w:pStyle w:val="Compact"/>
            </w:pPr>
            <w:r>
              <w:t xml:space="preserve">(G_F)</w:t>
            </w:r>
          </w:p>
        </w:tc>
      </w:tr>
      <w:tr>
        <w:tc>
          <w:tcPr/>
          <w:p>
            <w:pPr>
              <w:pStyle w:val="Compact"/>
            </w:pPr>
            <w:r>
              <w:t xml:space="preserve">Orientation</w:t>
            </w:r>
          </w:p>
        </w:tc>
        <w:tc>
          <w:tcPr/>
          <w:p>
            <w:pPr>
              <w:pStyle w:val="Compact"/>
            </w:pPr>
            <w:r>
              <w:t xml:space="preserve">jauge, projection, phase complexe</w:t>
            </w:r>
          </w:p>
        </w:tc>
        <w:tc>
          <w:tcPr/>
          <w:p>
            <w:pPr>
              <w:pStyle w:val="Compact"/>
            </w:pPr>
            <w:r>
              <w:t xml:space="preserve">(</w:t>
            </w:r>
            <w:r>
              <w:rPr>
                <w:i/>
                <w:iCs/>
              </w:rPr>
              <w:t xml:space="preserve">W), PMNS, (</w:t>
            </w:r>
            <w:r>
              <w:t xml:space="preserve">{</w:t>
            </w:r>
            <w:r>
              <w:t xml:space="preserve">})</w:t>
            </w:r>
          </w:p>
        </w:tc>
      </w:tr>
      <w:tr>
        <w:tc>
          <w:tcPr/>
          <w:p>
            <w:pPr>
              <w:pStyle w:val="Compact"/>
            </w:pPr>
            <w:r>
              <w:t xml:space="preserve">Fond</w:t>
            </w:r>
          </w:p>
        </w:tc>
        <w:tc>
          <w:tcPr/>
          <w:p>
            <w:pPr>
              <w:pStyle w:val="Compact"/>
            </w:pPr>
            <w:r>
              <w:t xml:space="preserve">cosmologique, global</w:t>
            </w:r>
          </w:p>
        </w:tc>
        <w:tc>
          <w:tcPr/>
          <w:p>
            <w:pPr>
              <w:pStyle w:val="Compact"/>
            </w:pPr>
            <w:r>
              <w:t xml:space="preserve">(</w:t>
            </w:r>
            <w:r>
              <w:t xml:space="preserve">)</w:t>
            </w:r>
          </w:p>
        </w:tc>
      </w:tr>
      <w:tr>
        <w:tc>
          <w:tcPr/>
          <w:p>
            <w:pPr>
              <w:pStyle w:val="Compact"/>
            </w:pPr>
            <w:r>
              <w:t xml:space="preserve">Seuil</w:t>
            </w:r>
          </w:p>
        </w:tc>
        <w:tc>
          <w:tcPr/>
          <w:p>
            <w:pPr>
              <w:pStyle w:val="Compact"/>
            </w:pPr>
            <w:r>
              <w:t xml:space="preserve">spectral, borne absolue</w:t>
            </w:r>
          </w:p>
        </w:tc>
        <w:tc>
          <w:tcPr/>
          <w:p>
            <w:pPr>
              <w:pStyle w:val="Compact"/>
            </w:pPr>
            <w:r>
              <w:t xml:space="preserve">masse absolue neutrino</w:t>
            </w:r>
          </w:p>
        </w:tc>
      </w:tr>
      <w:tr>
        <w:tc>
          <w:tcPr/>
          <w:p>
            <w:pPr>
              <w:pStyle w:val="Compact"/>
            </w:pPr>
            <w:r>
              <w:t xml:space="preserve">Convention</w:t>
            </w:r>
          </w:p>
        </w:tc>
        <w:tc>
          <w:tcPr/>
          <w:p>
            <w:pPr>
              <w:pStyle w:val="Compact"/>
            </w:pPr>
            <w:r>
              <w:t xml:space="preserve">définissante primaire, exacte par composition</w:t>
            </w:r>
          </w:p>
        </w:tc>
        <w:tc>
          <w:tcPr/>
          <w:p>
            <w:pPr>
              <w:pStyle w:val="Compact"/>
            </w:pPr>
            <w:r>
              <w:t xml:space="preserve">(k_B), (N_A), (R)</w:t>
            </w:r>
          </w:p>
        </w:tc>
      </w:tr>
    </w:tbl>
    <w:p>
      <w:pPr>
        <w:pStyle w:val="BodyText"/>
      </w:pPr>
      <w:r>
        <w:t xml:space="preserve">Cette table doit remplacer la prolifération des catégories de même rang.</w:t>
      </w:r>
    </w:p>
    <w:bookmarkEnd w:id="40"/>
    <w:bookmarkStart w:id="41" w:name="effet-sur-la-définition-générale"/>
    <w:p>
      <w:pPr>
        <w:pStyle w:val="Heading2"/>
      </w:pPr>
      <w:r>
        <w:t xml:space="preserve">17. Effet sur la définition générale</w:t>
      </w:r>
    </w:p>
    <w:p>
      <w:pPr>
        <w:pStyle w:val="FirstParagraph"/>
      </w:pPr>
      <w:r>
        <w:t xml:space="preserve">La définition générale n’a pas besoin d’être allongée. Elle doit plutôt être articulée.</w:t>
      </w:r>
    </w:p>
    <w:p>
      <w:pPr>
        <w:pStyle w:val="BodyText"/>
      </w:pPr>
      <w:r>
        <w:t xml:space="preserve">Formulation proposée :</w:t>
      </w:r>
    </w:p>
    <w:p>
      <w:pPr>
        <w:pStyle w:val="BodyText"/>
      </w:pPr>
      <w:r>
        <w:rPr>
          <w:b/>
          <w:bCs/>
        </w:rPr>
        <w:t xml:space="preserve">Une constante effective stabilisée est une grandeur qui acquiert une robustesse de valeur, de relation ou de fonction dans un régime déterminé. Cette robustesse doit être analysée selon quatre axes : fonction physique, régime de définition, régime d’accès et mode de stabilisation.</w:t>
      </w:r>
    </w:p>
    <w:p>
      <w:pPr>
        <w:pStyle w:val="BodyText"/>
      </w:pPr>
      <w:r>
        <w:t xml:space="preserve">Cette définition est plus compacte que les versions précédentes.</w:t>
      </w:r>
    </w:p>
    <w:p>
      <w:pPr>
        <w:pStyle w:val="BodyText"/>
      </w:pPr>
      <w:r>
        <w:t xml:space="preserve">Elle évite de lister trop de fonctions dans la définition elle-même. Les fonctions relèvent de la carte, pas de la définition.</w:t>
      </w:r>
    </w:p>
    <w:bookmarkEnd w:id="41"/>
    <w:bookmarkStart w:id="42" w:name="test-recommandé-secteur-ckm"/>
    <w:p>
      <w:pPr>
        <w:pStyle w:val="Heading2"/>
      </w:pPr>
      <w:r>
        <w:t xml:space="preserve">18. Test recommandé : secteur CKM</w:t>
      </w:r>
    </w:p>
    <w:p>
      <w:pPr>
        <w:pStyle w:val="FirstParagraph"/>
      </w:pPr>
      <w:r>
        <w:t xml:space="preserve">La note conduit à une recommandation claire.</w:t>
      </w:r>
    </w:p>
    <w:p>
      <w:pPr>
        <w:pStyle w:val="BodyText"/>
      </w:pPr>
      <w:r>
        <w:t xml:space="preserve">Le prochain cycle le plus utile n’est pas cosmologique. Le domaine cosmologique testerait</w:t>
      </w:r>
      <w:r>
        <w:t xml:space="preserve"> </w:t>
      </w:r>
      <w:r>
        <w:t xml:space="preserve">“Fond”</w:t>
      </w:r>
      <w:r>
        <w:t xml:space="preserve">, mais il risque d’élargir trop vite la carte.</w:t>
      </w:r>
    </w:p>
    <w:p>
      <w:pPr>
        <w:pStyle w:val="BodyText"/>
      </w:pPr>
      <w:r>
        <w:t xml:space="preserve">Le prochain cycle le plus utile est le secteur CKM.</w:t>
      </w:r>
    </w:p>
    <w:p>
      <w:pPr>
        <w:pStyle w:val="BodyText"/>
      </w:pPr>
      <w:r>
        <w:t xml:space="preserve">Pourquoi ?</w:t>
      </w:r>
    </w:p>
    <w:p>
      <w:pPr>
        <w:pStyle w:val="BodyText"/>
      </w:pPr>
      <w:r>
        <w:t xml:space="preserve">Parce qu’il teste directement la compression de la famille :</w:t>
      </w:r>
    </w:p>
    <w:p>
      <w:pPr>
        <w:pStyle w:val="BodyText"/>
      </w:pPr>
      <w:r>
        <w:t xml:space="preserve">[</w:t>
      </w:r>
      <w:r>
        <w:t xml:space="preserve"> </w:t>
      </w:r>
      <w:r>
        <w:t xml:space="preserve"> </w:t>
      </w:r>
      <w:r>
        <w:t xml:space="preserve">]</w:t>
      </w:r>
    </w:p>
    <w:p>
      <w:pPr>
        <w:pStyle w:val="BodyText"/>
      </w:pPr>
      <w:r>
        <w:t xml:space="preserve">Il permet de demander si les catégories issues du secteur neutrino étaient trop locales.</w:t>
      </w:r>
    </w:p>
    <w:p>
      <w:pPr>
        <w:pStyle w:val="BodyText"/>
      </w:pPr>
      <w:r>
        <w:t xml:space="preserve">Les quarks ne s’observent pas comme particules libres oscillantes. Le mélange CKM se manifeste dans les interactions faibles et les désintégrations. Donc CKM forcera à distinguer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Si CKM entre proprement dans la famille</w:t>
      </w:r>
      <w:r>
        <w:t xml:space="preserve"> </w:t>
      </w:r>
      <w:r>
        <w:t xml:space="preserve">“Orientation”</w:t>
      </w:r>
      <w:r>
        <w:t xml:space="preserve"> </w:t>
      </w:r>
      <w:r>
        <w:t xml:space="preserve">sans exiger une nouvelle famille, la compression est réussie.</w:t>
      </w:r>
    </w:p>
    <w:bookmarkEnd w:id="42"/>
    <w:bookmarkStart w:id="43" w:name="critère-de-réussite-du-prochain-cycle"/>
    <w:p>
      <w:pPr>
        <w:pStyle w:val="Heading2"/>
      </w:pPr>
      <w:r>
        <w:t xml:space="preserve">19. Critère de réussite du prochain cycle</w:t>
      </w:r>
    </w:p>
    <w:p>
      <w:pPr>
        <w:pStyle w:val="FirstParagraph"/>
      </w:pPr>
      <w:r>
        <w:t xml:space="preserve">Le prochain cycle sera réussi si :</w:t>
      </w:r>
    </w:p>
    <w:p>
      <w:pPr>
        <w:numPr>
          <w:ilvl w:val="0"/>
          <w:numId w:val="1001"/>
        </w:numPr>
      </w:pPr>
      <w:r>
        <w:t xml:space="preserve">il classe CKM dans la famille Orientation sans reprendre naïvement les catégories PMNS ;</w:t>
      </w:r>
    </w:p>
    <w:p>
      <w:pPr>
        <w:numPr>
          <w:ilvl w:val="0"/>
          <w:numId w:val="1001"/>
        </w:numPr>
      </w:pPr>
      <w:r>
        <w:t xml:space="preserve">il distingue angle de mélange, phase CP et observables de désintégration ;</w:t>
      </w:r>
    </w:p>
    <w:p>
      <w:pPr>
        <w:numPr>
          <w:ilvl w:val="0"/>
          <w:numId w:val="1001"/>
        </w:numPr>
      </w:pPr>
      <w:r>
        <w:t xml:space="preserve">il montre que</w:t>
      </w:r>
      <w:r>
        <w:t xml:space="preserve"> </w:t>
      </w:r>
      <w:r>
        <w:t xml:space="preserve">“oscillation”</w:t>
      </w:r>
      <w:r>
        <w:t xml:space="preserve"> </w:t>
      </w:r>
      <w:r>
        <w:t xml:space="preserve">était un sous-type local, non une famille générale ;</w:t>
      </w:r>
    </w:p>
    <w:p>
      <w:pPr>
        <w:numPr>
          <w:ilvl w:val="0"/>
          <w:numId w:val="1001"/>
        </w:numPr>
      </w:pPr>
      <w:r>
        <w:t xml:space="preserve">il évite de créer une catégorie par paramètre CKM ;</w:t>
      </w:r>
    </w:p>
    <w:p>
      <w:pPr>
        <w:numPr>
          <w:ilvl w:val="0"/>
          <w:numId w:val="1001"/>
        </w:numPr>
      </w:pPr>
      <w:r>
        <w:t xml:space="preserve">il clarifie la relation entre mélange, saveur, masse et interaction faible.</w:t>
      </w:r>
    </w:p>
    <w:p>
      <w:pPr>
        <w:pStyle w:val="FirstParagraph"/>
      </w:pPr>
      <w:r>
        <w:t xml:space="preserve">Il échouera si :</w:t>
      </w:r>
    </w:p>
    <w:p>
      <w:pPr>
        <w:numPr>
          <w:ilvl w:val="0"/>
          <w:numId w:val="1002"/>
        </w:numPr>
      </w:pPr>
      <w:r>
        <w:t xml:space="preserve">chaque angle CKM produit une nouvelle catégorie ;</w:t>
      </w:r>
    </w:p>
    <w:p>
      <w:pPr>
        <w:numPr>
          <w:ilvl w:val="0"/>
          <w:numId w:val="1002"/>
        </w:numPr>
      </w:pPr>
      <w:r>
        <w:t xml:space="preserve">CKM oblige à abandonner la famille Orientation ;</w:t>
      </w:r>
    </w:p>
    <w:p>
      <w:pPr>
        <w:numPr>
          <w:ilvl w:val="0"/>
          <w:numId w:val="1002"/>
        </w:numPr>
      </w:pPr>
      <w:r>
        <w:t xml:space="preserve">les catégories neutrino sont simplement dupliquées sans adaptation ;</w:t>
      </w:r>
    </w:p>
    <w:p>
      <w:pPr>
        <w:numPr>
          <w:ilvl w:val="0"/>
          <w:numId w:val="1002"/>
        </w:numPr>
      </w:pPr>
      <w:r>
        <w:t xml:space="preserve">le régime d’accès expérimental est confondu avec la fonction physique du mélange.</w:t>
      </w:r>
    </w:p>
    <w:bookmarkEnd w:id="43"/>
    <w:bookmarkStart w:id="44" w:name="formule-de-clôture"/>
    <w:p>
      <w:pPr>
        <w:pStyle w:val="Heading2"/>
      </w:pPr>
      <w:r>
        <w:t xml:space="preserve">20. Formule de clôture</w:t>
      </w:r>
    </w:p>
    <w:p>
      <w:pPr>
        <w:pStyle w:val="FirstParagraph"/>
      </w:pPr>
      <w:r>
        <w:t xml:space="preserve">La compression ne réduit pas la richesse de la carte. Elle l’empêche de devenir une collection.</w:t>
      </w:r>
    </w:p>
    <w:p>
      <w:pPr>
        <w:pStyle w:val="BodyText"/>
      </w:pPr>
      <w:r>
        <w:t xml:space="preserve">La formule de clôture est :</w:t>
      </w:r>
    </w:p>
    <w:p>
      <w:pPr>
        <w:pStyle w:val="BodyText"/>
      </w:pPr>
      <w:r>
        <w:rPr>
          <w:b/>
          <w:bCs/>
        </w:rPr>
        <w:t xml:space="preserve">Une bonne taxonomie ne nomme pas chaque différence ; elle décide quelles différences méritent un rang.</w:t>
      </w:r>
    </w:p>
    <w:p>
      <w:pPr>
        <w:pStyle w:val="BodyText"/>
      </w:pPr>
      <w:r>
        <w:t xml:space="preserve">La prochaine étape logique est donc un cycle CKM bref, conçu non comme accumulation, mais comme test de compression de la famille Orientation.</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2026-07-09T06:28:21Z</dcterms:created>
  <dcterms:modified xsi:type="dcterms:W3CDTF">2026-07-09T06:28:21Z</dcterms:modified>
</cp:coreProperties>
</file>

<file path=docProps/custom.xml><?xml version="1.0" encoding="utf-8"?>
<Properties xmlns="http://schemas.openxmlformats.org/officeDocument/2006/custom-properties" xmlns:vt="http://schemas.openxmlformats.org/officeDocument/2006/docPropsVTypes"/>
</file>