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note-de-consolidation-saveur-higgs-v0.1"/>
    <w:p>
      <w:pPr>
        <w:pStyle w:val="Heading1"/>
      </w:pPr>
      <w:r>
        <w:t xml:space="preserve">Note de consolidation saveur-Higgs v0.1</w:t>
      </w:r>
    </w:p>
    <w:bookmarkStart w:id="20" w:name="échelle-yukawa-masses-et-orientations"/>
    <w:p>
      <w:pPr>
        <w:pStyle w:val="Heading2"/>
      </w:pPr>
      <w:r>
        <w:t xml:space="preserve">Échelle, Yukawa, masses et orientations</w:t>
      </w:r>
    </w:p>
    <w:bookmarkEnd w:id="20"/>
    <w:bookmarkStart w:id="21" w:name="fonction-de-la-note"/>
    <w:p>
      <w:pPr>
        <w:pStyle w:val="Heading2"/>
      </w:pPr>
      <w:r>
        <w:t xml:space="preserve">1. Fonction de la note</w:t>
      </w:r>
    </w:p>
    <w:p>
      <w:pPr>
        <w:pStyle w:val="FirstParagraph"/>
      </w:pPr>
      <w:r>
        <w:t xml:space="preserve">Cette note consolide un foyer critique apparu dans la carte v0.4 : le secteur Higgs/Yukawa/saveur ne doit pas être fragmenté en catégories indépendantes trop locales.</w:t>
      </w:r>
    </w:p>
    <w:p>
      <w:pPr>
        <w:pStyle w:val="BodyText"/>
      </w:pPr>
      <w:r>
        <w:t xml:space="preserve">Les grandeurs concernées sont notamment :</w:t>
      </w:r>
    </w:p>
    <w:p>
      <w:pPr>
        <w:pStyle w:val="BodyText"/>
      </w:pPr>
      <w:r>
        <w:t xml:space="preserve">[</w:t>
      </w:r>
      <w:r>
        <w:t xml:space="preserve"> </w:t>
      </w:r>
      <w:r>
        <w:t xml:space="preserve">v</w:t>
      </w:r>
      <w:r>
        <w:t xml:space="preserve"> </w:t>
      </w:r>
      <w:r>
        <w:t xml:space="preserve">]</w:t>
      </w:r>
    </w:p>
    <w:p>
      <w:pPr>
        <w:pStyle w:val="BodyText"/>
      </w:pPr>
      <w:r>
        <w:t xml:space="preserve">la valeur moyenne du champ de Higgs,</w:t>
      </w:r>
    </w:p>
    <w:p>
      <w:pPr>
        <w:pStyle w:val="BodyText"/>
      </w:pPr>
      <w:r>
        <w:t xml:space="preserve">[</w:t>
      </w:r>
      <w:r>
        <w:t xml:space="preserve"> </w:t>
      </w:r>
      <w:r>
        <w:t xml:space="preserve">Y_u,</w:t>
      </w:r>
      <w:r>
        <w:t xml:space="preserve">Y_d,</w:t>
      </w:r>
      <w:r>
        <w:t xml:space="preserve">Y_e</w:t>
      </w:r>
      <w:r>
        <w:t xml:space="preserve"> </w:t>
      </w:r>
      <w:r>
        <w:t xml:space="preserve">]</w:t>
      </w:r>
    </w:p>
    <w:p>
      <w:pPr>
        <w:pStyle w:val="BodyText"/>
      </w:pPr>
      <w:r>
        <w:t xml:space="preserve">les matrices de Yukawa du Modèle standard,</w:t>
      </w:r>
    </w:p>
    <w:p>
      <w:pPr>
        <w:pStyle w:val="BodyText"/>
      </w:pPr>
      <w:r>
        <w:t xml:space="preserve">[</w:t>
      </w:r>
      <w:r>
        <w:t xml:space="preserve"> </w:t>
      </w:r>
      <w:r>
        <w:t xml:space="preserve">m_f</w:t>
      </w:r>
      <w:r>
        <w:t xml:space="preserve"> </w:t>
      </w:r>
      <w:r>
        <w:t xml:space="preserve">]</w:t>
      </w:r>
    </w:p>
    <w:p>
      <w:pPr>
        <w:pStyle w:val="BodyText"/>
      </w:pPr>
      <w:r>
        <w:t xml:space="preserve">les masses fermioniques après brisure électrofaible,</w:t>
      </w:r>
    </w:p>
    <w:p>
      <w:pPr>
        <w:pStyle w:val="BodyText"/>
      </w:pPr>
      <w:r>
        <w:t xml:space="preserve">[</w:t>
      </w:r>
      <w:r>
        <w:t xml:space="preserve"> </w:t>
      </w:r>
      <w:r>
        <w:t xml:space="preserve">V_{</w:t>
      </w:r>
      <w:r>
        <w:t xml:space="preserve">}</w:t>
      </w:r>
      <w:r>
        <w:t xml:space="preserve"> </w:t>
      </w:r>
      <w:r>
        <w:t xml:space="preserve">]</w:t>
      </w:r>
    </w:p>
    <w:p>
      <w:pPr>
        <w:pStyle w:val="BodyText"/>
      </w:pPr>
      <w:r>
        <w:t xml:space="preserve">la matrice de mélange des quarks,</w:t>
      </w:r>
    </w:p>
    <w:p>
      <w:pPr>
        <w:pStyle w:val="BodyText"/>
      </w:pPr>
      <w:r>
        <w:t xml:space="preserve">et, sous réserve de l’extension nécessaire du secteur neutrino,</w:t>
      </w:r>
    </w:p>
    <w:p>
      <w:pPr>
        <w:pStyle w:val="BodyText"/>
      </w:pPr>
      <w:r>
        <w:t xml:space="preserve">[</w:t>
      </w:r>
      <w:r>
        <w:t xml:space="preserve"> </w:t>
      </w:r>
      <w:r>
        <w:t xml:space="preserve">U_{</w:t>
      </w:r>
      <w:r>
        <w:t xml:space="preserve">}</w:t>
      </w:r>
      <w:r>
        <w:t xml:space="preserve"> </w:t>
      </w:r>
      <w:r>
        <w:t xml:space="preserve">]</w:t>
      </w:r>
    </w:p>
    <w:p>
      <w:pPr>
        <w:pStyle w:val="BodyText"/>
      </w:pPr>
      <w:r>
        <w:t xml:space="preserve">la matrice de mélange leptonique.</w:t>
      </w:r>
    </w:p>
    <w:p>
      <w:pPr>
        <w:pStyle w:val="BodyText"/>
      </w:pPr>
      <w:r>
        <w:t xml:space="preserve">L’objectif de cette note est de montrer que ces objets ne relèvent pas de familles séparées de même rang. Ils forment une architecture commune :</w:t>
      </w:r>
    </w:p>
    <w:p>
      <w:pPr>
        <w:pStyle w:val="BodyText"/>
      </w:pPr>
      <w:r>
        <w:t xml:space="preserve">[</w:t>
      </w:r>
      <w:r>
        <w:t xml:space="preserve"> </w:t>
      </w:r>
    </w:p>
    <w:p>
      <w:pPr>
        <w:pStyle w:val="Compact"/>
        <w:numPr>
          <w:ilvl w:val="0"/>
          <w:numId w:val="1001"/>
        </w:numPr>
      </w:pPr>
      <w:r>
        <w:t xml:space="preserve">]</w:t>
      </w:r>
    </w:p>
    <w:p>
      <w:pPr>
        <w:pStyle w:val="FirstParagraph"/>
      </w:pPr>
      <w:r>
        <w:t xml:space="preserve">La question n’est donc plus : quelle catégorie nouvelle attribuer à chaque objet ?</w:t>
      </w:r>
      <w:r>
        <w:br/>
      </w:r>
      <w:r>
        <w:t xml:space="preserve">La question devient :</w:t>
      </w:r>
    </w:p>
    <w:p>
      <w:pPr>
        <w:pStyle w:val="BodyText"/>
      </w:pPr>
      <w:r>
        <w:t xml:space="preserve">[</w:t>
      </w:r>
      <w:r>
        <w:t xml:space="preserve"> </w:t>
      </w:r>
      <w:r>
        <w:t xml:space="preserve"> </w:t>
      </w:r>
      <w:r>
        <w:t xml:space="preserve">]</w:t>
      </w:r>
    </w:p>
    <w:bookmarkEnd w:id="21"/>
    <w:bookmarkStart w:id="22" w:name="résultat-général"/>
    <w:p>
      <w:pPr>
        <w:pStyle w:val="Heading2"/>
      </w:pPr>
      <w:r>
        <w:t xml:space="preserve">2. Résultat général</w:t>
      </w:r>
    </w:p>
    <w:p>
      <w:pPr>
        <w:pStyle w:val="FirstParagraph"/>
      </w:pPr>
      <w:r>
        <w:t xml:space="preserve">Le secteur Higgs/Yukawa impose une lecture à quatre niveaux.</w:t>
      </w:r>
    </w:p>
    <w:p>
      <w:pPr>
        <w:pStyle w:val="BodyText"/>
      </w:pPr>
      <w:r>
        <w:t xml:space="preserve">Premier niveau :</w:t>
      </w:r>
    </w:p>
    <w:p>
      <w:pPr>
        <w:pStyle w:val="BodyText"/>
      </w:pPr>
      <w:r>
        <w:t xml:space="preserve">[</w:t>
      </w:r>
      <w:r>
        <w:t xml:space="preserve"> </w:t>
      </w:r>
      <w:r>
        <w:t xml:space="preserve">v</w:t>
      </w:r>
      <w:r>
        <w:t xml:space="preserve"> </w:t>
      </w:r>
      <w:r>
        <w:t xml:space="preserve">]</w:t>
      </w:r>
    </w:p>
    <w:p>
      <w:pPr>
        <w:pStyle w:val="BodyText"/>
      </w:pPr>
      <w:r>
        <w:t xml:space="preserve">fixe l’échelle électrofaible.</w:t>
      </w:r>
    </w:p>
    <w:p>
      <w:pPr>
        <w:pStyle w:val="BodyText"/>
      </w:pPr>
      <w:r>
        <w:t xml:space="preserve">Deuxième niveau :</w:t>
      </w:r>
    </w:p>
    <w:p>
      <w:pPr>
        <w:pStyle w:val="BodyText"/>
      </w:pPr>
      <w:r>
        <w:t xml:space="preserve">[</w:t>
      </w:r>
      <w:r>
        <w:t xml:space="preserve"> </w:t>
      </w:r>
      <w:r>
        <w:t xml:space="preserve">Y_f</w:t>
      </w:r>
      <w:r>
        <w:t xml:space="preserve"> </w:t>
      </w:r>
      <w:r>
        <w:t xml:space="preserve">]</w:t>
      </w:r>
    </w:p>
    <w:p>
      <w:pPr>
        <w:pStyle w:val="BodyText"/>
      </w:pPr>
      <w:r>
        <w:t xml:space="preserve">distribue cette échelle entre les familles de fermions.</w:t>
      </w:r>
    </w:p>
    <w:p>
      <w:pPr>
        <w:pStyle w:val="BodyText"/>
      </w:pPr>
      <w:r>
        <w:t xml:space="preserve">Troisième niveau :</w:t>
      </w:r>
    </w:p>
    <w:p>
      <w:pPr>
        <w:pStyle w:val="BodyText"/>
      </w:pPr>
      <w:r>
        <w:t xml:space="preserve">[</w:t>
      </w:r>
      <w:r>
        <w:t xml:space="preserve"> </w:t>
      </w:r>
      <w:r>
        <w:t xml:space="preserve">m_f</w:t>
      </w:r>
      <w:r>
        <w:t xml:space="preserve"> </w:t>
      </w:r>
      <w:r>
        <w:t xml:space="preserve">]</w:t>
      </w:r>
    </w:p>
    <w:p>
      <w:pPr>
        <w:pStyle w:val="BodyText"/>
      </w:pPr>
      <w:r>
        <w:t xml:space="preserve">stabilise des masses basse énergie après diagonalisation.</w:t>
      </w:r>
    </w:p>
    <w:p>
      <w:pPr>
        <w:pStyle w:val="BodyText"/>
      </w:pPr>
      <w:r>
        <w:t xml:space="preserve">Quatrième niveau :</w:t>
      </w:r>
    </w:p>
    <w:p>
      <w:pPr>
        <w:pStyle w:val="BodyText"/>
      </w:pPr>
      <w:r>
        <w:t xml:space="preserve">[</w:t>
      </w:r>
      <w:r>
        <w:t xml:space="preserve"> </w:t>
      </w:r>
      <w:r>
        <w:t xml:space="preserve">V_{</w:t>
      </w:r>
      <w:r>
        <w:t xml:space="preserve">},</w:t>
      </w:r>
      <w:r>
        <w:t xml:space="preserve">U_{</w:t>
      </w:r>
      <w:r>
        <w:t xml:space="preserve">}</w:t>
      </w:r>
      <w:r>
        <w:t xml:space="preserve"> </w:t>
      </w:r>
      <w:r>
        <w:t xml:space="preserve">]</w:t>
      </w:r>
    </w:p>
    <w:p>
      <w:pPr>
        <w:pStyle w:val="BodyText"/>
      </w:pPr>
      <w:r>
        <w:t xml:space="preserve">expriment des désalignements entre bases physiques.</w:t>
      </w:r>
    </w:p>
    <w:p>
      <w:pPr>
        <w:pStyle w:val="BodyText"/>
      </w:pPr>
      <w:r>
        <w:t xml:space="preserve">La formule centrale est donc :</w:t>
      </w:r>
    </w:p>
    <w:p>
      <w:pPr>
        <w:pStyle w:val="BodyText"/>
      </w:pP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BodyText"/>
      </w:pPr>
      <w:r>
        <w:t xml:space="preserve">Cette formule remplace la prolifération précédente des catégories locales.</w:t>
      </w:r>
    </w:p>
    <w:bookmarkEnd w:id="22"/>
    <w:bookmarkStart w:id="23" w:name="X5dfaddab448781b0e5dfb4362c140b200b55b84"/>
    <w:p>
      <w:pPr>
        <w:pStyle w:val="Heading2"/>
      </w:pPr>
      <w:r>
        <w:t xml:space="preserve">3. (v) : échelle structurante du régime électrofaible</w:t>
      </w:r>
    </w:p>
    <w:p>
      <w:pPr>
        <w:pStyle w:val="FirstParagraph"/>
      </w:pPr>
      <w:r>
        <w:t xml:space="preserve">La valeur moyenne du champ de Higgs dans le vide :</w:t>
      </w:r>
    </w:p>
    <w:p>
      <w:pPr>
        <w:pStyle w:val="BodyText"/>
      </w:pPr>
      <w:r>
        <w:t xml:space="preserve">[</w:t>
      </w:r>
      <w:r>
        <w:t xml:space="preserve"> </w:t>
      </w:r>
      <w:r>
        <w:t xml:space="preserve">v</w:t>
      </w:r>
      <w:r>
        <w:t xml:space="preserve"> </w:t>
      </w:r>
      <w:r>
        <w:t xml:space="preserve"> </w:t>
      </w:r>
      <w:r>
        <w:t xml:space="preserve">]</w:t>
      </w:r>
    </w:p>
    <w:p>
      <w:pPr>
        <w:pStyle w:val="BodyText"/>
      </w:pPr>
      <w:r>
        <w:t xml:space="preserve">fixe l’échelle électrofaible.</w:t>
      </w:r>
    </w:p>
    <w:p>
      <w:pPr>
        <w:pStyle w:val="BodyText"/>
      </w:pPr>
      <w:r>
        <w:t xml:space="preserve">Elle intervient dans les masses des bosons faibles :</w:t>
      </w:r>
    </w:p>
    <w:p>
      <w:pPr>
        <w:pStyle w:val="BodyText"/>
      </w:pPr>
      <w:r>
        <w:t xml:space="preserve">[</w:t>
      </w:r>
      <w:r>
        <w:t xml:space="preserve"> </w:t>
      </w:r>
      <w:r>
        <w:t xml:space="preserve">M_W=</w:t>
      </w:r>
      <w:r>
        <w:t xml:space="preserve"> </w:t>
      </w:r>
      <w:r>
        <w:t xml:space="preserve">]</w:t>
      </w:r>
    </w:p>
    <w:p>
      <w:pPr>
        <w:pStyle w:val="BodyText"/>
      </w:pPr>
      <w:r>
        <w:t xml:space="preserve">[</w:t>
      </w:r>
      <w:r>
        <w:t xml:space="preserve"> </w:t>
      </w:r>
      <w:r>
        <w:t xml:space="preserve">M_Z=</w:t>
      </w:r>
      <w:r>
        <w:t xml:space="preserve"> </w:t>
      </w:r>
      <w:r>
        <w:t xml:space="preserve">]</w:t>
      </w:r>
    </w:p>
    <w:p>
      <w:pPr>
        <w:pStyle w:val="BodyText"/>
      </w:pPr>
      <w:r>
        <w:t xml:space="preserve">et dans les masses fermioniques :</w:t>
      </w:r>
    </w:p>
    <w:p>
      <w:pPr>
        <w:pStyle w:val="BodyText"/>
      </w:pPr>
      <w:r>
        <w:t xml:space="preserve">[</w:t>
      </w:r>
      <w:r>
        <w:t xml:space="preserve"> </w:t>
      </w:r>
      <w:r>
        <w:t xml:space="preserve">m_f=</w:t>
      </w:r>
      <w:r>
        <w:t xml:space="preserve"> </w:t>
      </w:r>
      <w:r>
        <w:t xml:space="preserve">]</w:t>
      </w:r>
    </w:p>
    <w:p>
      <w:pPr>
        <w:pStyle w:val="BodyText"/>
      </w:pPr>
      <w:r>
        <w:t xml:space="preserve">dans le cas diagonal simplifié.</w:t>
      </w:r>
    </w:p>
    <w:p>
      <w:pPr>
        <w:pStyle w:val="BodyText"/>
      </w:pPr>
      <w:r>
        <w:t xml:space="preserve">Taxonomiquement, (v) appartient à la famille :</w:t>
      </w:r>
    </w:p>
    <w:p>
      <w:pPr>
        <w:pStyle w:val="BodyText"/>
      </w:pPr>
      <w:r>
        <w:t xml:space="preserve">[</w:t>
      </w:r>
      <w:r>
        <w:t xml:space="preserve"> </w:t>
      </w:r>
      <w:r>
        <w:t xml:space="preserve"> </w:t>
      </w:r>
      <w:r>
        <w:t xml:space="preserve">]</w:t>
      </w:r>
    </w:p>
    <w:p>
      <w:pPr>
        <w:pStyle w:val="BodyText"/>
      </w:pPr>
      <w:r>
        <w:t xml:space="preserve">Sous-type préférable :</w:t>
      </w:r>
    </w:p>
    <w:p>
      <w:pPr>
        <w:pStyle w:val="BodyText"/>
      </w:pPr>
      <w:r>
        <w:t xml:space="preserve">[</w:t>
      </w:r>
      <w:r>
        <w:t xml:space="preserve"> </w:t>
      </w:r>
      <w:r>
        <w:t xml:space="preserve"> </w:t>
      </w:r>
      <w:r>
        <w:t xml:space="preserve">]</w:t>
      </w:r>
    </w:p>
    <w:p>
      <w:pPr>
        <w:pStyle w:val="BodyText"/>
      </w:pPr>
      <w:r>
        <w:t xml:space="preserve">L’ancien terme</w:t>
      </w:r>
      <w:r>
        <w:t xml:space="preserve"> </w:t>
      </w:r>
      <w:r>
        <w:t xml:space="preserve">“constante de régime générateur”</w:t>
      </w:r>
      <w:r>
        <w:t xml:space="preserve"> </w:t>
      </w:r>
      <w:r>
        <w:t xml:space="preserve">doit être abandonné ou réservé avec prudence. (v) ne génère pas seul les masses. Il fournit l’échelle commune qui rend possible leur stabilisation après brisure électrofaible.</w:t>
      </w:r>
    </w:p>
    <w:p>
      <w:pPr>
        <w:pStyle w:val="BodyText"/>
      </w:pPr>
      <w:r>
        <w:t xml:space="preserve">La bonne formulation est donc :</w:t>
      </w:r>
    </w:p>
    <w:p>
      <w:pPr>
        <w:pStyle w:val="BodyText"/>
      </w:pPr>
      <w:r>
        <w:rPr>
          <w:b/>
          <w:bCs/>
        </w:rPr>
        <w:t xml:space="preserve">(v) structure le régime électrofaible brisé ; les Yukawa différencient les masses qui s’y stabilisent.</w:t>
      </w:r>
    </w:p>
    <w:bookmarkEnd w:id="23"/>
    <w:bookmarkStart w:id="24" w:name="Xe1aaca755711e05bd22d7065d680fd7cbc280dd"/>
    <w:p>
      <w:pPr>
        <w:pStyle w:val="Heading2"/>
      </w:pPr>
      <w:r>
        <w:t xml:space="preserve">4. Les Yukawa : couplages, textures et différenciation</w:t>
      </w:r>
    </w:p>
    <w:p>
      <w:pPr>
        <w:pStyle w:val="FirstParagraph"/>
      </w:pPr>
      <w:r>
        <w:t xml:space="preserve">Les Yukawa ne doivent pas être réduits à une liste de nombres isolés.</w:t>
      </w:r>
    </w:p>
    <w:p>
      <w:pPr>
        <w:pStyle w:val="BodyText"/>
      </w:pPr>
      <w:r>
        <w:t xml:space="preserve">Dans le Modèle standard, les termes de Yukawa associent les fermions au champ de Higgs. Schématiquement :</w:t>
      </w:r>
    </w:p>
    <w:p>
      <w:pPr>
        <w:pStyle w:val="BodyText"/>
      </w:pPr>
      <w:r>
        <w:t xml:space="preserve">[</w:t>
      </w:r>
      <w:r>
        <w:t xml:space="preserve"> </w:t>
      </w:r>
      <w:r>
        <w:t xml:space="preserve">-</w:t>
      </w:r>
      <w:r>
        <w:t xml:space="preserve">Q_L Y_d</w:t>
      </w:r>
      <w:r>
        <w:t xml:space="preserve"> </w:t>
      </w:r>
      <w:r>
        <w:t xml:space="preserve">d_R</w:t>
      </w:r>
      <w:r>
        <w:t xml:space="preserve"> </w:t>
      </w:r>
      <w:r>
        <w:t xml:space="preserve">]</w:t>
      </w:r>
    </w:p>
    <w:p>
      <w:pPr>
        <w:pStyle w:val="BodyText"/>
      </w:pPr>
      <w:r>
        <w:t xml:space="preserve">[</w:t>
      </w:r>
      <w:r>
        <w:t xml:space="preserve"> </w:t>
      </w:r>
      <w:r>
        <w:t xml:space="preserve">-</w:t>
      </w:r>
      <w:r>
        <w:t xml:space="preserve">Q_L Y_u</w:t>
      </w:r>
      <w:r>
        <w:t xml:space="preserve"> </w:t>
      </w:r>
      <w:r>
        <w:t xml:space="preserve"> </w:t>
      </w:r>
      <w:r>
        <w:t xml:space="preserve">u_R</w:t>
      </w:r>
      <w:r>
        <w:t xml:space="preserve"> </w:t>
      </w:r>
      <w:r>
        <w:t xml:space="preserve">]</w:t>
      </w:r>
    </w:p>
    <w:p>
      <w:pPr>
        <w:pStyle w:val="BodyText"/>
      </w:pPr>
      <w:r>
        <w:t xml:space="preserve">[</w:t>
      </w:r>
      <w:r>
        <w:t xml:space="preserve"> </w:t>
      </w:r>
      <w:r>
        <w:t xml:space="preserve">-</w:t>
      </w:r>
      <w:r>
        <w:t xml:space="preserve">L_L Y_e</w:t>
      </w:r>
      <w:r>
        <w:t xml:space="preserve"> </w:t>
      </w:r>
      <w:r>
        <w:t xml:space="preserve">e_R</w:t>
      </w:r>
      <w:r>
        <w:t xml:space="preserve"> </w:t>
      </w:r>
      <w:r>
        <w:t xml:space="preserve">]</w:t>
      </w:r>
    </w:p>
    <w:p>
      <w:pPr>
        <w:pStyle w:val="BodyText"/>
      </w:pPr>
      <w:r>
        <w:t xml:space="preserve">où :</w:t>
      </w:r>
    </w:p>
    <w:p>
      <w:pPr>
        <w:pStyle w:val="BodyText"/>
      </w:pPr>
      <w:r>
        <w:t xml:space="preserve">[</w:t>
      </w:r>
      <w:r>
        <w:t xml:space="preserve"> </w:t>
      </w:r>
      <w:r>
        <w:t xml:space="preserve">Y_u,</w:t>
      </w:r>
      <w:r>
        <w:t xml:space="preserve">Y_d,</w:t>
      </w:r>
      <w:r>
        <w:t xml:space="preserve">Y_e</w:t>
      </w:r>
      <w:r>
        <w:t xml:space="preserve"> </w:t>
      </w:r>
      <w:r>
        <w:t xml:space="preserve">]</w:t>
      </w:r>
    </w:p>
    <w:p>
      <w:pPr>
        <w:pStyle w:val="BodyText"/>
      </w:pPr>
      <w:r>
        <w:t xml:space="preserve">sont des matrices de couplage.</w:t>
      </w:r>
    </w:p>
    <w:p>
      <w:pPr>
        <w:pStyle w:val="BodyText"/>
      </w:pPr>
      <w:r>
        <w:t xml:space="preserve">Après brisure électrofaible, elles deviennent des matrices de masse :</w:t>
      </w:r>
    </w:p>
    <w:p>
      <w:pPr>
        <w:pStyle w:val="BodyText"/>
      </w:pPr>
      <w:r>
        <w:t xml:space="preserve">[</w:t>
      </w:r>
      <w:r>
        <w:t xml:space="preserve"> </w:t>
      </w:r>
      <w:r>
        <w:t xml:space="preserve">M_f=</w:t>
      </w:r>
      <w:r>
        <w:t xml:space="preserve">Y_f</w:t>
      </w:r>
      <w:r>
        <w:t xml:space="preserve"> </w:t>
      </w:r>
      <w:r>
        <w:t xml:space="preserve">]</w:t>
      </w:r>
    </w:p>
    <w:p>
      <w:pPr>
        <w:pStyle w:val="BodyText"/>
      </w:pPr>
      <w:r>
        <w:t xml:space="preserve">Les Yukawa ont donc une double fonction.</w:t>
      </w:r>
    </w:p>
    <w:p>
      <w:pPr>
        <w:pStyle w:val="BodyText"/>
      </w:pPr>
      <w:r>
        <w:t xml:space="preserve">Comme couplages, ils appartiennent à la famille :</w:t>
      </w:r>
    </w:p>
    <w:p>
      <w:pPr>
        <w:pStyle w:val="BodyText"/>
      </w:pPr>
      <w:r>
        <w:t xml:space="preserve">[</w:t>
      </w:r>
      <w:r>
        <w:t xml:space="preserve"> </w:t>
      </w:r>
      <w:r>
        <w:t xml:space="preserve"> </w:t>
      </w:r>
      <w:r>
        <w:t xml:space="preserve">]</w:t>
      </w:r>
    </w:p>
    <w:p>
      <w:pPr>
        <w:pStyle w:val="BodyText"/>
      </w:pPr>
      <w:r>
        <w:t xml:space="preserve">Comme matrices organisant les différences entre générations, ils appartiennent aussi à une fonction de :</w:t>
      </w:r>
    </w:p>
    <w:p>
      <w:pPr>
        <w:pStyle w:val="BodyText"/>
      </w:pPr>
      <w:r>
        <w:t xml:space="preserve">[</w:t>
      </w:r>
      <w:r>
        <w:t xml:space="preserve"> </w:t>
      </w:r>
      <w:r>
        <w:t xml:space="preserve"> </w:t>
      </w:r>
      <w:r>
        <w:t xml:space="preserve">]</w:t>
      </w:r>
    </w:p>
    <w:p>
      <w:pPr>
        <w:pStyle w:val="BodyText"/>
      </w:pPr>
      <w:r>
        <w:t xml:space="preserve">ou :</w:t>
      </w:r>
    </w:p>
    <w:p>
      <w:pPr>
        <w:pStyle w:val="BodyText"/>
      </w:pPr>
      <w:r>
        <w:t xml:space="preserve">[</w:t>
      </w:r>
      <w:r>
        <w:t xml:space="preserve"> </w:t>
      </w:r>
      <w:r>
        <w:t xml:space="preserve"> </w:t>
      </w:r>
      <w:r>
        <w:t xml:space="preserve">]</w:t>
      </w:r>
    </w:p>
    <w:p>
      <w:pPr>
        <w:pStyle w:val="BodyText"/>
      </w:pPr>
      <w:r>
        <w:t xml:space="preserve">Mais</w:t>
      </w:r>
      <w:r>
        <w:t xml:space="preserve"> </w:t>
      </w:r>
      <w:r>
        <w:t xml:space="preserve">“différenciation fermionique”</w:t>
      </w:r>
      <w:r>
        <w:t xml:space="preserve"> </w:t>
      </w:r>
      <w:r>
        <w:t xml:space="preserve">ne doit pas devenir une famille générale autonome. C’est un sous-type local de la famille Couplage, avec une dimension relationnelle.</w:t>
      </w:r>
    </w:p>
    <w:p>
      <w:pPr>
        <w:pStyle w:val="BodyText"/>
      </w:pPr>
      <w:r>
        <w:t xml:space="preserve">Formulation proposée :</w:t>
      </w:r>
    </w:p>
    <w:p>
      <w:pPr>
        <w:pStyle w:val="BodyText"/>
      </w:pPr>
      <w:r>
        <w:rPr>
          <w:b/>
          <w:bCs/>
        </w:rPr>
        <w:t xml:space="preserve">Les Yukawa sont des couplages de texture : ils distribuent l’échelle électrofaible entre fermions et organisent les spectres de masses ainsi que les désalignements de saveur.</w:t>
      </w:r>
    </w:p>
    <w:bookmarkEnd w:id="24"/>
    <w:bookmarkStart w:id="25" w:name="X8cf53c059f4dc99cdfc25c0b15d4e5ddae37e8a"/>
    <w:p>
      <w:pPr>
        <w:pStyle w:val="Heading2"/>
      </w:pPr>
      <w:r>
        <w:t xml:space="preserve">5. Les masses fermioniques : résultats stabilisés du régime brisé</w:t>
      </w:r>
    </w:p>
    <w:p>
      <w:pPr>
        <w:pStyle w:val="FirstParagraph"/>
      </w:pPr>
      <w:r>
        <w:t xml:space="preserve">Les masses fermioniques ne sont pas simplement données comme des constantes indépendantes.</w:t>
      </w:r>
    </w:p>
    <w:p>
      <w:pPr>
        <w:pStyle w:val="BodyText"/>
      </w:pPr>
      <w:r>
        <w:t xml:space="preserve">Elles résultent de la combinaison :</w:t>
      </w:r>
    </w:p>
    <w:p>
      <w:pPr>
        <w:pStyle w:val="BodyText"/>
      </w:pPr>
      <w:r>
        <w:t xml:space="preserve">[</w:t>
      </w:r>
      <w:r>
        <w:t xml:space="preserve"> </w:t>
      </w:r>
      <w:r>
        <w:t xml:space="preserve">v</w:t>
      </w:r>
      <w:r>
        <w:t xml:space="preserve"> </w:t>
      </w:r>
      <w:r>
        <w:t xml:space="preserve">]</w:t>
      </w:r>
    </w:p>
    <w:p>
      <w:pPr>
        <w:pStyle w:val="BodyText"/>
      </w:pPr>
      <w:r>
        <w:t xml:space="preserve">et :</w:t>
      </w:r>
    </w:p>
    <w:p>
      <w:pPr>
        <w:pStyle w:val="BodyText"/>
      </w:pPr>
      <w:r>
        <w:t xml:space="preserve">[</w:t>
      </w:r>
      <w:r>
        <w:t xml:space="preserve"> </w:t>
      </w:r>
      <w:r>
        <w:t xml:space="preserve">Y_f</w:t>
      </w:r>
      <w:r>
        <w:t xml:space="preserve"> </w:t>
      </w:r>
      <w:r>
        <w:t xml:space="preserve">]</w:t>
      </w:r>
    </w:p>
    <w:p>
      <w:pPr>
        <w:pStyle w:val="BodyText"/>
      </w:pPr>
      <w:r>
        <w:t xml:space="preserve">Après diagonalisation, on obtient les masses physiques :</w:t>
      </w:r>
    </w:p>
    <w:p>
      <w:pPr>
        <w:pStyle w:val="BodyText"/>
      </w:pPr>
      <w:r>
        <w:t xml:space="preserve">[</w:t>
      </w:r>
      <w:r>
        <w:t xml:space="preserve"> </w:t>
      </w:r>
      <w:r>
        <w:t xml:space="preserve">m_u,</w:t>
      </w:r>
      <w:r>
        <w:t xml:space="preserve">m_c,</w:t>
      </w:r>
      <w:r>
        <w:t xml:space="preserve">m_t</w:t>
      </w:r>
      <w:r>
        <w:t xml:space="preserve"> </w:t>
      </w:r>
      <w:r>
        <w:t xml:space="preserve">]</w:t>
      </w:r>
    </w:p>
    <w:p>
      <w:pPr>
        <w:pStyle w:val="BodyText"/>
      </w:pPr>
      <w:r>
        <w:t xml:space="preserve">[</w:t>
      </w:r>
      <w:r>
        <w:t xml:space="preserve"> </w:t>
      </w:r>
      <w:r>
        <w:t xml:space="preserve">m_d,</w:t>
      </w:r>
      <w:r>
        <w:t xml:space="preserve">m_s,</w:t>
      </w:r>
      <w:r>
        <w:t xml:space="preserve">m_b</w:t>
      </w:r>
      <w:r>
        <w:t xml:space="preserve"> </w:t>
      </w:r>
      <w:r>
        <w:t xml:space="preserve">]</w:t>
      </w:r>
    </w:p>
    <w:p>
      <w:pPr>
        <w:pStyle w:val="BodyText"/>
      </w:pPr>
      <w:r>
        <w:t xml:space="preserve">[</w:t>
      </w:r>
      <w:r>
        <w:t xml:space="preserve"> </w:t>
      </w:r>
      <w:r>
        <w:t xml:space="preserve">m_e,</w:t>
      </w:r>
      <w:r>
        <w:t xml:space="preserve">m_</w:t>
      </w:r>
      <w:r>
        <w:t xml:space="preserve">,</w:t>
      </w:r>
      <w:r>
        <w:t xml:space="preserve">m_</w:t>
      </w:r>
      <w:r>
        <w:t xml:space="preserve"> </w:t>
      </w:r>
      <w:r>
        <w:t xml:space="preserve">]</w:t>
      </w:r>
    </w:p>
    <w:p>
      <w:pPr>
        <w:pStyle w:val="BodyText"/>
      </w:pPr>
      <w:r>
        <w:t xml:space="preserve">Dans le cas diagonal simplifié :</w:t>
      </w:r>
    </w:p>
    <w:p>
      <w:pPr>
        <w:pStyle w:val="BodyText"/>
      </w:pPr>
      <w:r>
        <w:t xml:space="preserve">[</w:t>
      </w:r>
      <w:r>
        <w:t xml:space="preserve"> </w:t>
      </w:r>
      <w:r>
        <w:t xml:space="preserve">m_f=</w:t>
      </w:r>
      <w:r>
        <w:t xml:space="preserve"> </w:t>
      </w:r>
      <w:r>
        <w:t xml:space="preserve">]</w:t>
      </w:r>
    </w:p>
    <w:p>
      <w:pPr>
        <w:pStyle w:val="BodyText"/>
      </w:pPr>
      <w:r>
        <w:t xml:space="preserve">mais, dans le cas général, il faut tenir compte des matrices et de leur diagonalisation.</w:t>
      </w:r>
    </w:p>
    <w:p>
      <w:pPr>
        <w:pStyle w:val="BodyText"/>
      </w:pPr>
      <w:r>
        <w:t xml:space="preserve">Taxonomiquement, une masse fermionique appartient surtout à la famille :</w:t>
      </w:r>
    </w:p>
    <w:p>
      <w:pPr>
        <w:pStyle w:val="BodyText"/>
      </w:pPr>
      <w:r>
        <w:t xml:space="preserve">[</w:t>
      </w:r>
      <w:r>
        <w:t xml:space="preserve"> </w:t>
      </w:r>
      <w:r>
        <w:t xml:space="preserve"> </w:t>
      </w:r>
      <w:r>
        <w:t xml:space="preserve">]</w:t>
      </w:r>
    </w:p>
    <w:p>
      <w:pPr>
        <w:pStyle w:val="BodyText"/>
      </w:pPr>
      <w:r>
        <w:t xml:space="preserve">parce qu’elle résulte d’une relation entre une échelle commune et un couplage spécifique.</w:t>
      </w:r>
    </w:p>
    <w:p>
      <w:pPr>
        <w:pStyle w:val="BodyText"/>
      </w:pPr>
      <w:r>
        <w:t xml:space="preserve">Elle relève aussi de :</w:t>
      </w:r>
    </w:p>
    <w:p>
      <w:pPr>
        <w:pStyle w:val="BodyText"/>
      </w:pPr>
      <w:r>
        <w:t xml:space="preserve">[</w:t>
      </w:r>
      <w:r>
        <w:t xml:space="preserve"> </w:t>
      </w:r>
      <w:r>
        <w:t xml:space="preserve"> </w:t>
      </w:r>
      <w:r>
        <w:t xml:space="preserve">]</w:t>
      </w:r>
    </w:p>
    <w:p>
      <w:pPr>
        <w:pStyle w:val="BodyText"/>
      </w:pPr>
      <w:r>
        <w:t xml:space="preserve">en tant que valeur stabilisée dans un régime basse énergie.</w:t>
      </w:r>
    </w:p>
    <w:p>
      <w:pPr>
        <w:pStyle w:val="BodyText"/>
      </w:pPr>
      <w:r>
        <w:t xml:space="preserve">Mais elle ne doit pas produire une famille autonome</w:t>
      </w:r>
      <w:r>
        <w:t xml:space="preserve"> </w:t>
      </w:r>
      <w:r>
        <w:t xml:space="preserve">“masse de régime brisé”</w:t>
      </w:r>
      <w:r>
        <w:t xml:space="preserve">. Ce terme doit être rétrogradé.</w:t>
      </w:r>
    </w:p>
    <w:p>
      <w:pPr>
        <w:pStyle w:val="BodyText"/>
      </w:pPr>
      <w:r>
        <w:t xml:space="preserve">Décision :</w:t>
      </w:r>
    </w:p>
    <w:p>
      <w:pPr>
        <w:pStyle w:val="BodyText"/>
      </w:pPr>
      <w:r>
        <w:t xml:space="preserve">[</w:t>
      </w:r>
      <w:r>
        <w:t xml:space="preserve"> </w:t>
      </w:r>
      <w:r>
        <w:t xml:space="preserve"> </w:t>
      </w:r>
      <w:r>
        <w:t xml:space="preserve">]</w:t>
      </w:r>
    </w:p>
    <w:p>
      <w:pPr>
        <w:pStyle w:val="BodyText"/>
      </w:pPr>
      <w:r>
        <w:t xml:space="preserve">devient un sous-type local indiquant la condition de définissabilité, non une famille fonctionnelle supérieure.</w:t>
      </w:r>
    </w:p>
    <w:p>
      <w:pPr>
        <w:pStyle w:val="BodyText"/>
      </w:pPr>
      <w:r>
        <w:t xml:space="preserve">Formulation proposée :</w:t>
      </w:r>
    </w:p>
    <w:p>
      <w:pPr>
        <w:pStyle w:val="BodyText"/>
      </w:pPr>
      <w:r>
        <w:rPr>
          <w:b/>
          <w:bCs/>
        </w:rPr>
        <w:t xml:space="preserve">Une masse fermionique est une valeur stabilisée du régime électrofaible brisé, issue de la relation entre l’échelle (v) et une texture de Yukawa.</w:t>
      </w:r>
    </w:p>
    <w:bookmarkEnd w:id="25"/>
    <w:bookmarkStart w:id="26" w:name="Xdc46cee0cef20460c8201ff5e33b8fce05d5b26"/>
    <w:p>
      <w:pPr>
        <w:pStyle w:val="Heading2"/>
      </w:pPr>
      <w:r>
        <w:t xml:space="preserve">6. CKM : orientation de saveur transitionnelle</w:t>
      </w:r>
    </w:p>
    <w:p>
      <w:pPr>
        <w:pStyle w:val="FirstParagraph"/>
      </w:pPr>
      <w:r>
        <w:t xml:space="preserve">Dans le secteur quark, les matrices de Yukawa :</w:t>
      </w:r>
    </w:p>
    <w:p>
      <w:pPr>
        <w:pStyle w:val="BodyText"/>
      </w:pPr>
      <w:r>
        <w:t xml:space="preserve">[</w:t>
      </w:r>
      <w:r>
        <w:t xml:space="preserve"> </w:t>
      </w:r>
      <w:r>
        <w:t xml:space="preserve">Y_u,</w:t>
      </w:r>
      <w:r>
        <w:t xml:space="preserve">Y_d</w:t>
      </w:r>
      <w:r>
        <w:t xml:space="preserve"> </w:t>
      </w:r>
      <w:r>
        <w:t xml:space="preserve">]</w:t>
      </w:r>
    </w:p>
    <w:p>
      <w:pPr>
        <w:pStyle w:val="BodyText"/>
      </w:pPr>
      <w:r>
        <w:t xml:space="preserve">ne sont pas diagonalées par les mêmes rotations.</w:t>
      </w:r>
    </w:p>
    <w:p>
      <w:pPr>
        <w:pStyle w:val="BodyText"/>
      </w:pPr>
      <w:r>
        <w:t xml:space="preserve">On diagonalise les matrices de masse par des transformations unitaires. Schématiquement :</w:t>
      </w:r>
    </w:p>
    <w:p>
      <w:pPr>
        <w:pStyle w:val="BodyText"/>
      </w:pPr>
      <w:r>
        <w:t xml:space="preserve">[</w:t>
      </w:r>
      <w:r>
        <w:t xml:space="preserve"> </w:t>
      </w:r>
      <w:r>
        <w:t xml:space="preserve">U_L</w:t>
      </w:r>
      <w:r>
        <w:rPr>
          <w:vertAlign w:val="superscript"/>
        </w:rPr>
        <w:t xml:space="preserve">{u</w:t>
      </w:r>
      <w:r>
        <w:rPr>
          <w:vertAlign w:val="superscript"/>
        </w:rPr>
        <w:t xml:space="preserve">}M_uU_R</w:t>
      </w:r>
      <w:r>
        <w:t xml:space="preserve">u=M_u^{</w:t>
      </w:r>
      <w:r>
        <w:t xml:space="preserve">}</w:t>
      </w:r>
      <w:r>
        <w:t xml:space="preserve"> </w:t>
      </w:r>
      <w:r>
        <w:t xml:space="preserve">]</w:t>
      </w:r>
    </w:p>
    <w:p>
      <w:pPr>
        <w:pStyle w:val="BodyText"/>
      </w:pPr>
      <w:r>
        <w:t xml:space="preserve">[</w:t>
      </w:r>
      <w:r>
        <w:t xml:space="preserve"> </w:t>
      </w:r>
      <w:r>
        <w:t xml:space="preserve">U_L</w:t>
      </w:r>
      <w:r>
        <w:rPr>
          <w:vertAlign w:val="superscript"/>
        </w:rPr>
        <w:t xml:space="preserve">{d</w:t>
      </w:r>
      <w:r>
        <w:rPr>
          <w:vertAlign w:val="superscript"/>
        </w:rPr>
        <w:t xml:space="preserve">}M_dU_R</w:t>
      </w:r>
      <w:r>
        <w:t xml:space="preserve">d=M_d^{</w:t>
      </w:r>
      <w:r>
        <w:t xml:space="preserve">}</w:t>
      </w:r>
      <w:r>
        <w:t xml:space="preserve"> </w:t>
      </w:r>
      <w:r>
        <w:t xml:space="preserve">]</w:t>
      </w:r>
    </w:p>
    <w:p>
      <w:pPr>
        <w:pStyle w:val="BodyText"/>
      </w:pPr>
      <w:r>
        <w:t xml:space="preserve">Le désalignement entre les rotations gauches des secteurs up et down donne la matrice CKM :</w:t>
      </w:r>
    </w:p>
    <w:p>
      <w:pPr>
        <w:pStyle w:val="BodyText"/>
      </w:pPr>
      <w:r>
        <w:t xml:space="preserve">[</w:t>
      </w:r>
      <w:r>
        <w:t xml:space="preserve"> </w:t>
      </w:r>
      <w:r>
        <w:t xml:space="preserve">V_{</w:t>
      </w:r>
      <w:r>
        <w:t xml:space="preserve">}=U_L</w:t>
      </w:r>
      <w:r>
        <w:rPr>
          <w:vertAlign w:val="superscript"/>
        </w:rPr>
        <w:t xml:space="preserve">{u</w:t>
      </w:r>
      <w:r>
        <w:rPr>
          <w:vertAlign w:val="superscript"/>
        </w:rPr>
        <w:t xml:space="preserve">}U_L</w:t>
      </w:r>
      <w:r>
        <w:t xml:space="preserve">d</w:t>
      </w:r>
      <w:r>
        <w:t xml:space="preserve"> </w:t>
      </w:r>
      <w:r>
        <w:t xml:space="preserve">]</w:t>
      </w:r>
    </w:p>
    <w:p>
      <w:pPr>
        <w:pStyle w:val="BodyText"/>
      </w:pPr>
      <w:r>
        <w:t xml:space="preserve">selon la convention usuelle.</w:t>
      </w:r>
    </w:p>
    <w:p>
      <w:pPr>
        <w:pStyle w:val="BodyText"/>
      </w:pPr>
      <w:r>
        <w:t xml:space="preserve">Ce point est décisif : CKM n’est pas ajoutée extérieurement aux Yukawa. Elle exprime une relation interne entre deux textures de Yukawa.</w:t>
      </w:r>
    </w:p>
    <w:p>
      <w:pPr>
        <w:pStyle w:val="BodyText"/>
      </w:pPr>
      <w:r>
        <w:t xml:space="preserve">Taxonomiquement, CKM appartient à la famille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Sa fonction est :</w:t>
      </w:r>
    </w:p>
    <w:p>
      <w:pPr>
        <w:pStyle w:val="BodyText"/>
      </w:pPr>
      <w:r>
        <w:t xml:space="preserve">[</w:t>
      </w:r>
      <w:r>
        <w:t xml:space="preserve"> </w:t>
      </w:r>
      <w:r>
        <w:t xml:space="preserve"> </w:t>
      </w:r>
      <w:r>
        <w:t xml:space="preserve">]</w:t>
      </w:r>
    </w:p>
    <w:p>
      <w:pPr>
        <w:pStyle w:val="BodyText"/>
      </w:pPr>
      <w:r>
        <w:t xml:space="preserve">La manifestation n’est pas oscillatoire. Les quarks sont confinés ; CKM se manifeste dans les désintégrations faibles, les mélanges de mésons et les observables CP.</w:t>
      </w:r>
    </w:p>
    <w:p>
      <w:pPr>
        <w:pStyle w:val="BodyText"/>
      </w:pPr>
      <w:r>
        <w:t xml:space="preserve">Formulation proposée :</w:t>
      </w:r>
    </w:p>
    <w:p>
      <w:pPr>
        <w:pStyle w:val="BodyText"/>
      </w:pPr>
      <w:r>
        <w:rPr>
          <w:b/>
          <w:bCs/>
        </w:rPr>
        <w:t xml:space="preserve">CKM est la trace observable, dans les courants faibles chargés, du désalignement entre les textures de Yukawa des quarks up et down.</w:t>
      </w:r>
    </w:p>
    <w:bookmarkEnd w:id="26"/>
    <w:bookmarkStart w:id="27" w:name="X8e6a34e57c70883f3c094880724ba66aed67670"/>
    <w:p>
      <w:pPr>
        <w:pStyle w:val="Heading2"/>
      </w:pPr>
      <w:r>
        <w:t xml:space="preserve">7. Wolfenstein : hiérarchie locale de l’orientation CKM</w:t>
      </w:r>
    </w:p>
    <w:p>
      <w:pPr>
        <w:pStyle w:val="FirstParagraph"/>
      </w:pPr>
      <w:r>
        <w:t xml:space="preserve">La paramétrisation de Wolfenstein :</w:t>
      </w:r>
    </w:p>
    <w:p>
      <w:pPr>
        <w:pStyle w:val="BodyText"/>
      </w:pPr>
      <w:r>
        <w:t xml:space="preserve">[</w:t>
      </w:r>
      <w:r>
        <w:t xml:space="preserve"> </w:t>
      </w:r>
      <w:r>
        <w:t xml:space="preserve">,</w:t>
      </w:r>
      <w:r>
        <w:t xml:space="preserve">A,</w:t>
      </w:r>
      <w:r>
        <w:t xml:space="preserve">{</w:t>
      </w:r>
      <w:r>
        <w:t xml:space="preserve">},</w:t>
      </w:r>
      <w:r>
        <w:t xml:space="preserve">{</w:t>
      </w:r>
      <w:r>
        <w:t xml:space="preserve">}</w:t>
      </w:r>
      <w:r>
        <w:t xml:space="preserve"> </w:t>
      </w:r>
      <w:r>
        <w:t xml:space="preserve">]</w:t>
      </w:r>
    </w:p>
    <w:p>
      <w:pPr>
        <w:pStyle w:val="BodyText"/>
      </w:pPr>
      <w:r>
        <w:t xml:space="preserve">ne constitue pas une nouvelle famille.</w:t>
      </w:r>
    </w:p>
    <w:p>
      <w:pPr>
        <w:pStyle w:val="BodyText"/>
      </w:pPr>
      <w:r>
        <w:t xml:space="preserve">Elle rend lisible la hiérarchie interne de CKM :</w:t>
      </w:r>
    </w:p>
    <w:p>
      <w:pPr>
        <w:pStyle w:val="BodyText"/>
      </w:pPr>
      <w:r>
        <w:t xml:space="preserve">[</w:t>
      </w:r>
      <w:r>
        <w:t xml:space="preserve"> </w:t>
      </w:r>
      <w:r>
        <w:t xml:space="preserve">s_{12}=</w:t>
      </w:r>
      <w:r>
        <w:t xml:space="preserve"> </w:t>
      </w:r>
      <w:r>
        <w:t xml:space="preserve">]</w:t>
      </w:r>
    </w:p>
    <w:p>
      <w:pPr>
        <w:pStyle w:val="BodyText"/>
      </w:pPr>
      <w:r>
        <w:t xml:space="preserve">[</w:t>
      </w:r>
      <w:r>
        <w:t xml:space="preserve"> </w:t>
      </w:r>
      <w:r>
        <w:t xml:space="preserve">s_{23}=A</w:t>
      </w:r>
      <w:r>
        <w:t xml:space="preserve">^2</w:t>
      </w:r>
      <w:r>
        <w:t xml:space="preserve"> </w:t>
      </w:r>
      <w:r>
        <w:t xml:space="preserve">]</w:t>
      </w:r>
    </w:p>
    <w:p>
      <w:pPr>
        <w:pStyle w:val="BodyText"/>
      </w:pPr>
      <w:r>
        <w:t xml:space="preserve">[</w:t>
      </w:r>
      <w:r>
        <w:t xml:space="preserve"> </w:t>
      </w:r>
      <w:r>
        <w:t xml:space="preserve">s_{13}e</w:t>
      </w:r>
      <w:r>
        <w:rPr>
          <w:vertAlign w:val="superscript"/>
        </w:rPr>
        <w:t xml:space="preserve">{i</w:t>
      </w:r>
      <w:r>
        <w:rPr>
          <w:vertAlign w:val="superscript"/>
        </w:rPr>
        <w:t xml:space="preserve">}=A</w:t>
      </w:r>
      <w:r>
        <w:t xml:space="preserve">3(</w:t>
      </w:r>
      <w:r>
        <w:t xml:space="preserve">+i</w:t>
      </w:r>
      <w:r>
        <w:t xml:space="preserve">)</w:t>
      </w:r>
      <w:r>
        <w:t xml:space="preserve"> </w:t>
      </w:r>
      <w:r>
        <w:t xml:space="preserve">]</w:t>
      </w:r>
    </w:p>
    <w:p>
      <w:pPr>
        <w:pStyle w:val="BodyText"/>
      </w:pPr>
      <w:r>
        <w:t xml:space="preserve">Sa fonction est :</w:t>
      </w:r>
    </w:p>
    <w:p>
      <w:pPr>
        <w:pStyle w:val="BodyText"/>
      </w:pPr>
      <w:r>
        <w:t xml:space="preserve">[</w:t>
      </w:r>
      <w:r>
        <w:t xml:space="preserve"> </w:t>
      </w:r>
      <w:r>
        <w:t xml:space="preserve"> </w:t>
      </w:r>
      <w:r>
        <w:t xml:space="preserve">]</w:t>
      </w:r>
    </w:p>
    <w:p>
      <w:pPr>
        <w:pStyle w:val="BodyText"/>
      </w:pPr>
      <w:r>
        <w:t xml:space="preserve">Taxonomiquement :</w:t>
      </w:r>
    </w:p>
    <w:p>
      <w:pPr>
        <w:pStyle w:val="BodyText"/>
      </w:pPr>
      <w:r>
        <w:t xml:space="preserve">[</w:t>
      </w:r>
      <w:r>
        <w:t xml:space="preserve"> </w:t>
      </w:r>
      <w:r>
        <w:t xml:space="preserve"> </w:t>
      </w:r>
      <w:r>
        <w:t xml:space="preserve">]</w:t>
      </w:r>
    </w:p>
    <w:p>
      <w:pPr>
        <w:pStyle w:val="BodyText"/>
      </w:pPr>
      <w:r>
        <w:t xml:space="preserve">est un sous-type local de la famille Orientation.</w:t>
      </w:r>
    </w:p>
    <w:p>
      <w:pPr>
        <w:pStyle w:val="BodyText"/>
      </w:pPr>
      <w:r>
        <w:t xml:space="preserve">Formulation proposée :</w:t>
      </w:r>
    </w:p>
    <w:p>
      <w:pPr>
        <w:pStyle w:val="BodyText"/>
      </w:pPr>
      <w:r>
        <w:rPr>
          <w:b/>
          <w:bCs/>
        </w:rPr>
        <w:t xml:space="preserve">Wolfenstein ne décrit pas une nouvelle constante ; il donne des coordonnées hiérarchiques de l’orientation CKM.</w:t>
      </w:r>
    </w:p>
    <w:bookmarkEnd w:id="27"/>
    <w:bookmarkStart w:id="28" w:name="pmns-orientation-de-saveur-oscillatoire"/>
    <w:p>
      <w:pPr>
        <w:pStyle w:val="Heading2"/>
      </w:pPr>
      <w:r>
        <w:t xml:space="preserve">8. PMNS : orientation de saveur oscillatoire</w:t>
      </w:r>
    </w:p>
    <w:p>
      <w:pPr>
        <w:pStyle w:val="FirstParagraph"/>
      </w:pPr>
      <w:r>
        <w:t xml:space="preserve">Le secteur leptonique exige une prudence supplémentaire.</w:t>
      </w:r>
    </w:p>
    <w:p>
      <w:pPr>
        <w:pStyle w:val="BodyText"/>
      </w:pPr>
      <w:r>
        <w:t xml:space="preserve">Dans le Modèle standard minimal, les neutrinos sont sans masse. Pour obtenir les masses et mélanges neutrino observés, il faut étendre le secteur minimal : masses de Dirac, masses de Majorana, mécanisme de seesaw ou autre structure.</w:t>
      </w:r>
    </w:p>
    <w:p>
      <w:pPr>
        <w:pStyle w:val="BodyText"/>
      </w:pPr>
      <w:r>
        <w:t xml:space="preserve">La matrice PMNS apparaît alors comme le désalignement entre la base des leptons chargés et celle des neutrinos.</w:t>
      </w:r>
    </w:p>
    <w:p>
      <w:pPr>
        <w:pStyle w:val="BodyText"/>
      </w:pPr>
      <w:r>
        <w:t xml:space="preserve">Schématiquement :</w:t>
      </w:r>
    </w:p>
    <w:p>
      <w:pPr>
        <w:pStyle w:val="BodyText"/>
      </w:pPr>
      <w:r>
        <w:t xml:space="preserve">[</w:t>
      </w:r>
      <w:r>
        <w:t xml:space="preserve"> </w:t>
      </w:r>
      <w:r>
        <w:t xml:space="preserve">U_{</w:t>
      </w:r>
      <w:r>
        <w:t xml:space="preserve">}=U_L^{e</w:t>
      </w:r>
      <w:r>
        <w:t xml:space="preserve">}U_</w:t>
      </w:r>
      <w:r>
        <w:t xml:space="preserve"> </w:t>
      </w:r>
      <w:r>
        <w:t xml:space="preserve">]</w:t>
      </w:r>
    </w:p>
    <w:p>
      <w:pPr>
        <w:pStyle w:val="BodyText"/>
      </w:pPr>
      <w:r>
        <w:t xml:space="preserve">où (U_L^e) diagonalise le secteur des leptons chargés, et (U_</w:t>
      </w:r>
      <w:r>
        <w:t xml:space="preserve">) diagonalise la matrice de masse des neutrinos, avec des détails dépendant du type de masse considéré.</w:t>
      </w:r>
    </w:p>
    <w:p>
      <w:pPr>
        <w:pStyle w:val="BodyText"/>
      </w:pPr>
      <w:r>
        <w:t xml:space="preserve">Taxonomiquement, PMNS appartient à la famille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Sa manifestation typique est l’oscillation :</w:t>
      </w:r>
    </w:p>
    <w:p>
      <w:pPr>
        <w:pStyle w:val="BodyText"/>
      </w:pPr>
      <w:r>
        <w:t xml:space="preserve">[</w:t>
      </w:r>
      <w:r>
        <w:t xml:space="preserve"> </w:t>
      </w:r>
      <w:r>
        <w:t xml:space="preserve"> </w:t>
      </w:r>
      <w:r>
        <w:t xml:space="preserve">]</w:t>
      </w:r>
    </w:p>
    <w:p>
      <w:pPr>
        <w:pStyle w:val="BodyText"/>
      </w:pPr>
      <w:r>
        <w:t xml:space="preserve">Mais l’oscillation est une manifestation, non la famille générale.</w:t>
      </w:r>
    </w:p>
    <w:p>
      <w:pPr>
        <w:pStyle w:val="BodyText"/>
      </w:pPr>
      <w:r>
        <w:t xml:space="preserve">Formulation proposée :</w:t>
      </w:r>
    </w:p>
    <w:p>
      <w:pPr>
        <w:pStyle w:val="BodyText"/>
      </w:pPr>
      <w:r>
        <w:rPr>
          <w:b/>
          <w:bCs/>
        </w:rPr>
        <w:t xml:space="preserve">PMNS est une orientation de saveur dont la manifestation principale est oscillatoire, tandis que CKM est une orientation de saveur dont la manifestation principale est transitionnelle.</w:t>
      </w:r>
    </w:p>
    <w:bookmarkEnd w:id="28"/>
    <w:bookmarkStart w:id="29" w:name="neutrinos-seuil-spectral-et-orientation"/>
    <w:p>
      <w:pPr>
        <w:pStyle w:val="Heading2"/>
      </w:pPr>
      <w:r>
        <w:t xml:space="preserve">9. Neutrinos : seuil spectral et orientation</w:t>
      </w:r>
    </w:p>
    <w:p>
      <w:pPr>
        <w:pStyle w:val="FirstParagraph"/>
      </w:pPr>
      <w:r>
        <w:t xml:space="preserve">Le secteur neutrino ajoute un élément absent du secteur quark dans sa forme actuelle : l’ancrage absolu du spectre de masses reste ouvert.</w:t>
      </w:r>
    </w:p>
    <w:p>
      <w:pPr>
        <w:pStyle w:val="BodyText"/>
      </w:pPr>
      <w:r>
        <w:t xml:space="preserve">Il faut distinguer :</w:t>
      </w:r>
    </w:p>
    <w:p>
      <w:pPr>
        <w:pStyle w:val="BodyText"/>
      </w:pPr>
      <w:r>
        <w:t xml:space="preserve">[</w:t>
      </w:r>
      <w:r>
        <w:t xml:space="preserve"> </w:t>
      </w:r>
      <w:r>
        <w:t xml:space="preserve">m^2</w:t>
      </w:r>
      <w:r>
        <w:t xml:space="preserve"> </w:t>
      </w:r>
      <w:r>
        <w:t xml:space="preserve">]</w:t>
      </w:r>
    </w:p>
    <w:p>
      <w:pPr>
        <w:pStyle w:val="BodyText"/>
      </w:pPr>
      <w:r>
        <w:t xml:space="preserve">qui donne des différences spectrales et stabilise les déphasages oscillatoires,</w:t>
      </w:r>
    </w:p>
    <w:p>
      <w:pPr>
        <w:pStyle w:val="BodyText"/>
      </w:pPr>
      <w:r>
        <w:t xml:space="preserve">[</w:t>
      </w:r>
      <w:r>
        <w:t xml:space="preserve"> </w:t>
      </w:r>
      <w:r>
        <w:t xml:space="preserve">U_{</w:t>
      </w:r>
      <w:r>
        <w:t xml:space="preserve">}</w:t>
      </w:r>
      <w:r>
        <w:t xml:space="preserve"> </w:t>
      </w:r>
      <w:r>
        <w:t xml:space="preserve">]</w:t>
      </w:r>
    </w:p>
    <w:p>
      <w:pPr>
        <w:pStyle w:val="BodyText"/>
      </w:pPr>
      <w:r>
        <w:t xml:space="preserve">qui donne l’orientation saveur/masse,</w:t>
      </w:r>
    </w:p>
    <w:p>
      <w:pPr>
        <w:pStyle w:val="BodyText"/>
      </w:pPr>
      <w:r>
        <w:t xml:space="preserve">[</w:t>
      </w:r>
      <w:r>
        <w:t xml:space="preserve"> </w:t>
      </w:r>
      <w:r>
        <w:t xml:space="preserve">_{</w:t>
      </w:r>
      <w:r>
        <w:t xml:space="preserve">}</w:t>
      </w:r>
      <w:r>
        <w:t xml:space="preserve"> </w:t>
      </w:r>
      <w:r>
        <w:t xml:space="preserve">]</w:t>
      </w:r>
    </w:p>
    <w:p>
      <w:pPr>
        <w:pStyle w:val="BodyText"/>
      </w:pPr>
      <w:r>
        <w:t xml:space="preserve">qui donne une orientation complexe CP,</w:t>
      </w:r>
    </w:p>
    <w:p>
      <w:pPr>
        <w:pStyle w:val="BodyText"/>
      </w:pPr>
      <w:r>
        <w:t xml:space="preserve">et :</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qui sont des projections de la masse absolue.</w:t>
      </w:r>
    </w:p>
    <w:p>
      <w:pPr>
        <w:pStyle w:val="BodyText"/>
      </w:pPr>
      <w:r>
        <w:t xml:space="preserve">Ainsi, dans le secteur neutrino, l’architecture complète implique :</w:t>
      </w:r>
    </w:p>
    <w:p>
      <w:pPr>
        <w:pStyle w:val="BodyText"/>
      </w:pPr>
      <w:r>
        <w:t xml:space="preserve">[</w:t>
      </w:r>
      <w:r>
        <w:t xml:space="preserve"> </w:t>
      </w:r>
    </w:p>
    <w:p>
      <w:pPr>
        <w:pStyle w:val="Compact"/>
        <w:numPr>
          <w:ilvl w:val="0"/>
          <w:numId w:val="1002"/>
        </w:numPr>
      </w:pPr>
      <w:r>
        <w:t xml:space="preserve">]</w:t>
      </w:r>
    </w:p>
    <w:p>
      <w:pPr>
        <w:pStyle w:val="FirstParagraph"/>
      </w:pPr>
      <w:r>
        <w:t xml:space="preserve">Cela montre que le secteur neutrino ne doit pas être rangé sous une seule catégorie. PMNS relève de l’orientation ; (</w:t>
      </w:r>
      <w:r>
        <w:t xml:space="preserve">m^2) relève de la relation spectrale ; la masse absolue relève du seuil spectral.</w:t>
      </w:r>
    </w:p>
    <w:bookmarkEnd w:id="29"/>
    <w:bookmarkStart w:id="30" w:name="architecture-commune-de-la-saveur"/>
    <w:p>
      <w:pPr>
        <w:pStyle w:val="Heading2"/>
      </w:pPr>
      <w:r>
        <w:t xml:space="preserve">10. Architecture commune de la saveur</w:t>
      </w:r>
    </w:p>
    <w:p>
      <w:pPr>
        <w:pStyle w:val="FirstParagraph"/>
      </w:pPr>
      <w:r>
        <w:t xml:space="preserve">On peut maintenant formuler l’architecture commune ainsi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Fonction</w:t>
            </w:r>
          </w:p>
        </w:tc>
        <w:tc>
          <w:tcPr/>
          <w:p>
            <w:pPr>
              <w:pStyle w:val="Compact"/>
            </w:pPr>
            <w:r>
              <w:t xml:space="preserve">Cas</w:t>
            </w:r>
          </w:p>
        </w:tc>
      </w:tr>
      <w:tr>
        <w:tc>
          <w:tcPr/>
          <w:p>
            <w:pPr>
              <w:pStyle w:val="Compact"/>
            </w:pPr>
            <w:r>
              <w:t xml:space="preserve">Échelle commune</w:t>
            </w:r>
          </w:p>
        </w:tc>
        <w:tc>
          <w:tcPr/>
          <w:p>
            <w:pPr>
              <w:pStyle w:val="Compact"/>
            </w:pPr>
            <w:r>
              <w:t xml:space="preserve">Fixer le régime électrofaible brisé</w:t>
            </w:r>
          </w:p>
        </w:tc>
        <w:tc>
          <w:tcPr/>
          <w:p>
            <w:pPr>
              <w:pStyle w:val="Compact"/>
            </w:pPr>
            <w:r>
              <w:t xml:space="preserve">(v)</w:t>
            </w:r>
          </w:p>
        </w:tc>
      </w:tr>
      <w:tr>
        <w:tc>
          <w:tcPr/>
          <w:p>
            <w:pPr>
              <w:pStyle w:val="Compact"/>
            </w:pPr>
            <w:r>
              <w:t xml:space="preserve">Couplages de texture</w:t>
            </w:r>
          </w:p>
        </w:tc>
        <w:tc>
          <w:tcPr/>
          <w:p>
            <w:pPr>
              <w:pStyle w:val="Compact"/>
            </w:pPr>
            <w:r>
              <w:t xml:space="preserve">Distribuer l’échelle entre familles</w:t>
            </w:r>
          </w:p>
        </w:tc>
        <w:tc>
          <w:tcPr/>
          <w:p>
            <w:pPr>
              <w:pStyle w:val="Compact"/>
            </w:pPr>
            <w:r>
              <w:t xml:space="preserve">(Y_u,Y_d,Y_e), et extension neutrino</w:t>
            </w:r>
          </w:p>
        </w:tc>
      </w:tr>
      <w:tr>
        <w:tc>
          <w:tcPr/>
          <w:p>
            <w:pPr>
              <w:pStyle w:val="Compact"/>
            </w:pPr>
            <w:r>
              <w:t xml:space="preserve">Spectres de masses</w:t>
            </w:r>
          </w:p>
        </w:tc>
        <w:tc>
          <w:tcPr/>
          <w:p>
            <w:pPr>
              <w:pStyle w:val="Compact"/>
            </w:pPr>
            <w:r>
              <w:t xml:space="preserve">Stabiliser les masses physiques</w:t>
            </w:r>
          </w:p>
        </w:tc>
        <w:tc>
          <w:tcPr/>
          <w:p>
            <w:pPr>
              <w:pStyle w:val="Compact"/>
            </w:pPr>
            <w:r>
              <w:t xml:space="preserve">(m_f), masses quark/lepton</w:t>
            </w:r>
          </w:p>
        </w:tc>
      </w:tr>
      <w:tr>
        <w:tc>
          <w:tcPr/>
          <w:p>
            <w:pPr>
              <w:pStyle w:val="Compact"/>
            </w:pPr>
            <w:r>
              <w:t xml:space="preserve">Relations spectrales</w:t>
            </w:r>
          </w:p>
        </w:tc>
        <w:tc>
          <w:tcPr/>
          <w:p>
            <w:pPr>
              <w:pStyle w:val="Compact"/>
            </w:pPr>
            <w:r>
              <w:t xml:space="preserve">Mesurer des écarts ou rapports</w:t>
            </w:r>
          </w:p>
        </w:tc>
        <w:tc>
          <w:tcPr/>
          <w:p>
            <w:pPr>
              <w:pStyle w:val="Compact"/>
            </w:pPr>
            <w:r>
              <w:t xml:space="preserve">(</w:t>
            </w:r>
            <w:r>
              <w:t xml:space="preserve">m^2), rapports de masses</w:t>
            </w:r>
          </w:p>
        </w:tc>
      </w:tr>
      <w:tr>
        <w:tc>
          <w:tcPr/>
          <w:p>
            <w:pPr>
              <w:pStyle w:val="Compact"/>
            </w:pPr>
            <w:r>
              <w:t xml:space="preserve">Orientations</w:t>
            </w:r>
          </w:p>
        </w:tc>
        <w:tc>
          <w:tcPr/>
          <w:p>
            <w:pPr>
              <w:pStyle w:val="Compact"/>
            </w:pPr>
            <w:r>
              <w:t xml:space="preserve">Fixer les désalignements entre bases</w:t>
            </w:r>
          </w:p>
        </w:tc>
        <w:tc>
          <w:tcPr/>
          <w:p>
            <w:pPr>
              <w:pStyle w:val="Compact"/>
            </w:pPr>
            <w:r>
              <w:t xml:space="preserve">CKM, PMNS</w:t>
            </w:r>
          </w:p>
        </w:tc>
      </w:tr>
      <w:tr>
        <w:tc>
          <w:tcPr/>
          <w:p>
            <w:pPr>
              <w:pStyle w:val="Compact"/>
            </w:pPr>
            <w:r>
              <w:t xml:space="preserve">Phases CP</w:t>
            </w:r>
          </w:p>
        </w:tc>
        <w:tc>
          <w:tcPr/>
          <w:p>
            <w:pPr>
              <w:pStyle w:val="Compact"/>
            </w:pPr>
            <w:r>
              <w:t xml:space="preserve">Introduire une orientation complexe observable</w:t>
            </w:r>
          </w:p>
        </w:tc>
        <w:tc>
          <w:tcPr/>
          <w:p>
            <w:pPr>
              <w:pStyle w:val="Compact"/>
            </w:pPr>
            <w:r>
              <w:t xml:space="preserve">phase CKM, (</w:t>
            </w:r>
            <w:r>
              <w:t xml:space="preserve">_{</w:t>
            </w:r>
            <w:r>
              <w:t xml:space="preserve">})</w:t>
            </w:r>
          </w:p>
        </w:tc>
      </w:tr>
      <w:tr>
        <w:tc>
          <w:tcPr/>
          <w:p>
            <w:pPr>
              <w:pStyle w:val="Compact"/>
            </w:pPr>
            <w:r>
              <w:t xml:space="preserve">Seuils</w:t>
            </w:r>
          </w:p>
        </w:tc>
        <w:tc>
          <w:tcPr/>
          <w:p>
            <w:pPr>
              <w:pStyle w:val="Compact"/>
            </w:pPr>
            <w:r>
              <w:t xml:space="preserve">Fixer ou borner l’ancrage absolu d’un spectre</w:t>
            </w:r>
          </w:p>
        </w:tc>
        <w:tc>
          <w:tcPr/>
          <w:p>
            <w:pPr>
              <w:pStyle w:val="Compact"/>
            </w:pPr>
            <w:r>
              <w:t xml:space="preserve">masse absolue neutrino</w:t>
            </w:r>
          </w:p>
        </w:tc>
      </w:tr>
    </w:tbl>
    <w:p>
      <w:pPr>
        <w:pStyle w:val="BodyText"/>
      </w:pPr>
      <w:r>
        <w:t xml:space="preserve">Ce tableau est la version compacte du secteur saveur-Higgs.</w:t>
      </w:r>
    </w:p>
    <w:bookmarkEnd w:id="30"/>
    <w:bookmarkStart w:id="31" w:name="compression-taxonomique-obtenue"/>
    <w:p>
      <w:pPr>
        <w:pStyle w:val="Heading2"/>
      </w:pPr>
      <w:r>
        <w:t xml:space="preserve">11. Compression taxonomique obtenue</w:t>
      </w:r>
    </w:p>
    <w:p>
      <w:pPr>
        <w:pStyle w:val="FirstParagraph"/>
      </w:pPr>
      <w:r>
        <w:t xml:space="preserve">La consolidation permet de rétrograder plusieurs catégories locales.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Ancienne catégorie</w:t>
            </w:r>
          </w:p>
        </w:tc>
        <w:tc>
          <w:tcPr/>
          <w:p>
            <w:pPr>
              <w:pStyle w:val="Compact"/>
            </w:pPr>
            <w:r>
              <w:t xml:space="preserve">Nouveau statut</w:t>
            </w:r>
          </w:p>
        </w:tc>
      </w:tr>
      <w:tr>
        <w:tc>
          <w:tcPr/>
          <w:p>
            <w:pPr>
              <w:pStyle w:val="Compact"/>
            </w:pPr>
            <w:r>
              <w:t xml:space="preserve">Constante de régime générateur</w:t>
            </w:r>
          </w:p>
        </w:tc>
        <w:tc>
          <w:tcPr/>
          <w:p>
            <w:pPr>
              <w:pStyle w:val="Compact"/>
            </w:pPr>
            <w:r>
              <w:t xml:space="preserve">Remplacée par constante structurante de régime, sous-type d’Échelle</w:t>
            </w:r>
          </w:p>
        </w:tc>
      </w:tr>
      <w:tr>
        <w:tc>
          <w:tcPr/>
          <w:p>
            <w:pPr>
              <w:pStyle w:val="Compact"/>
            </w:pPr>
            <w:r>
              <w:t xml:space="preserve">Constante de différenciation fermionique</w:t>
            </w:r>
          </w:p>
        </w:tc>
        <w:tc>
          <w:tcPr/>
          <w:p>
            <w:pPr>
              <w:pStyle w:val="Compact"/>
            </w:pPr>
            <w:r>
              <w:t xml:space="preserve">Sous-type des couplages de texture</w:t>
            </w:r>
          </w:p>
        </w:tc>
      </w:tr>
      <w:tr>
        <w:tc>
          <w:tcPr/>
          <w:p>
            <w:pPr>
              <w:pStyle w:val="Compact"/>
            </w:pPr>
            <w:r>
              <w:t xml:space="preserve">Constante de régime brisé</w:t>
            </w:r>
          </w:p>
        </w:tc>
        <w:tc>
          <w:tcPr/>
          <w:p>
            <w:pPr>
              <w:pStyle w:val="Compact"/>
            </w:pPr>
            <w:r>
              <w:t xml:space="preserve">Condition de définissabilité, non famille autonome</w:t>
            </w:r>
          </w:p>
        </w:tc>
      </w:tr>
      <w:tr>
        <w:tc>
          <w:tcPr/>
          <w:p>
            <w:pPr>
              <w:pStyle w:val="Compact"/>
            </w:pPr>
            <w:r>
              <w:t xml:space="preserve">Constante de projection oscillatoire</w:t>
            </w:r>
          </w:p>
        </w:tc>
        <w:tc>
          <w:tcPr/>
          <w:p>
            <w:pPr>
              <w:pStyle w:val="Compact"/>
            </w:pPr>
            <w:r>
              <w:t xml:space="preserve">Sous-type d’Orientation, manifestation oscillatoire</w:t>
            </w:r>
          </w:p>
        </w:tc>
      </w:tr>
      <w:tr>
        <w:tc>
          <w:tcPr/>
          <w:p>
            <w:pPr>
              <w:pStyle w:val="Compact"/>
            </w:pPr>
            <w:r>
              <w:t xml:space="preserve">Constante de phase d’asymétrie oscillatoire</w:t>
            </w:r>
          </w:p>
        </w:tc>
        <w:tc>
          <w:tcPr/>
          <w:p>
            <w:pPr>
              <w:pStyle w:val="Compact"/>
            </w:pPr>
            <w:r>
              <w:t xml:space="preserve">Orientation complexe CP dans régime oscillatoire</w:t>
            </w:r>
          </w:p>
        </w:tc>
      </w:tr>
      <w:tr>
        <w:tc>
          <w:tcPr/>
          <w:p>
            <w:pPr>
              <w:pStyle w:val="Compact"/>
            </w:pPr>
            <w:r>
              <w:t xml:space="preserve">Constante de phase oscillatoire</w:t>
            </w:r>
          </w:p>
        </w:tc>
        <w:tc>
          <w:tcPr/>
          <w:p>
            <w:pPr>
              <w:pStyle w:val="Compact"/>
            </w:pPr>
            <w:r>
              <w:t xml:space="preserve">Manifestation d’une relation spectrale, non famille générale</w:t>
            </w:r>
          </w:p>
        </w:tc>
      </w:tr>
      <w:tr>
        <w:tc>
          <w:tcPr/>
          <w:p>
            <w:pPr>
              <w:pStyle w:val="Compact"/>
            </w:pPr>
            <w:r>
              <w:t xml:space="preserve">Paramètres Wolfenstein</w:t>
            </w:r>
          </w:p>
        </w:tc>
        <w:tc>
          <w:tcPr/>
          <w:p>
            <w:pPr>
              <w:pStyle w:val="Compact"/>
            </w:pPr>
            <w:r>
              <w:t xml:space="preserve">Coordonnées hiérarchiques d’Orientation, non famille autonome</w:t>
            </w:r>
          </w:p>
        </w:tc>
      </w:tr>
    </w:tbl>
    <w:p>
      <w:pPr>
        <w:pStyle w:val="BodyText"/>
      </w:pPr>
      <w:r>
        <w:t xml:space="preserve">La taxonomie se compacte donc autour de quatre familles principales pour ce secteur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avec :</w:t>
      </w:r>
    </w:p>
    <w:p>
      <w:pPr>
        <w:pStyle w:val="BodyText"/>
      </w:pPr>
      <w:r>
        <w:t xml:space="preserve">[</w:t>
      </w:r>
      <w:r>
        <w:t xml:space="preserve"> </w:t>
      </w:r>
      <w:r>
        <w:t xml:space="preserve"> </w:t>
      </w:r>
      <w:r>
        <w:t xml:space="preserve">]</w:t>
      </w:r>
    </w:p>
    <w:p>
      <w:pPr>
        <w:pStyle w:val="BodyText"/>
      </w:pPr>
      <w:r>
        <w:t xml:space="preserve">pour la masse absolue des neutrinos.</w:t>
      </w:r>
    </w:p>
    <w:bookmarkEnd w:id="31"/>
    <w:bookmarkStart w:id="32" w:name="lecture-par-les-quatre-axes-v0.4"/>
    <w:p>
      <w:pPr>
        <w:pStyle w:val="Heading2"/>
      </w:pPr>
      <w:r>
        <w:t xml:space="preserve">12. Lecture par les quatre axes v0.4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Objet</w:t>
            </w:r>
          </w:p>
        </w:tc>
        <w:tc>
          <w:tcPr/>
          <w:p>
            <w:pPr>
              <w:pStyle w:val="Compact"/>
            </w:pPr>
            <w:r>
              <w:t xml:space="preserve">Fonction physique</w:t>
            </w:r>
          </w:p>
        </w:tc>
        <w:tc>
          <w:tcPr/>
          <w:p>
            <w:pPr>
              <w:pStyle w:val="Compact"/>
            </w:pPr>
            <w:r>
              <w:t xml:space="preserve">Régime de définition</w:t>
            </w:r>
          </w:p>
        </w:tc>
        <w:tc>
          <w:tcPr/>
          <w:p>
            <w:pPr>
              <w:pStyle w:val="Compact"/>
            </w:pPr>
            <w:r>
              <w:t xml:space="preserve">Régime d’accès</w:t>
            </w:r>
          </w:p>
        </w:tc>
        <w:tc>
          <w:tcPr/>
          <w:p>
            <w:pPr>
              <w:pStyle w:val="Compact"/>
            </w:pPr>
            <w:r>
              <w:t xml:space="preserve">Stabilisation</w:t>
            </w:r>
          </w:p>
        </w:tc>
      </w:tr>
      <w:tr>
        <w:tc>
          <w:tcPr/>
          <w:p>
            <w:pPr>
              <w:pStyle w:val="Compact"/>
            </w:pPr>
            <w:r>
              <w:t xml:space="preserve">(v)</w:t>
            </w:r>
          </w:p>
        </w:tc>
        <w:tc>
          <w:tcPr/>
          <w:p>
            <w:pPr>
              <w:pStyle w:val="Compact"/>
            </w:pPr>
            <w:r>
              <w:t xml:space="preserve">Fixer l’échelle électrofaible</w:t>
            </w:r>
          </w:p>
        </w:tc>
        <w:tc>
          <w:tcPr/>
          <w:p>
            <w:pPr>
              <w:pStyle w:val="Compact"/>
            </w:pPr>
            <w:r>
              <w:t xml:space="preserve">Régime électrofaible brisé</w:t>
            </w:r>
          </w:p>
        </w:tc>
        <w:tc>
          <w:tcPr/>
          <w:p>
            <w:pPr>
              <w:pStyle w:val="Compact"/>
            </w:pPr>
            <w:r>
              <w:t xml:space="preserve">(G_F), masses (W/Z), fits électrofaibles</w:t>
            </w:r>
          </w:p>
        </w:tc>
        <w:tc>
          <w:tcPr/>
          <w:p>
            <w:pPr>
              <w:pStyle w:val="Compact"/>
            </w:pPr>
            <w:r>
              <w:t xml:space="preserve">Forte</w:t>
            </w:r>
          </w:p>
        </w:tc>
      </w:tr>
      <w:tr>
        <w:tc>
          <w:tcPr/>
          <w:p>
            <w:pPr>
              <w:pStyle w:val="Compact"/>
            </w:pPr>
            <w:r>
              <w:t xml:space="preserve">(Y_f)</w:t>
            </w:r>
          </w:p>
        </w:tc>
        <w:tc>
          <w:tcPr/>
          <w:p>
            <w:pPr>
              <w:pStyle w:val="Compact"/>
            </w:pPr>
            <w:r>
              <w:t xml:space="preserve">Distribuer l’échelle entre fermions</w:t>
            </w:r>
          </w:p>
        </w:tc>
        <w:tc>
          <w:tcPr/>
          <w:p>
            <w:pPr>
              <w:pStyle w:val="Compact"/>
            </w:pPr>
            <w:r>
              <w:t xml:space="preserve">Couplages au Higgs</w:t>
            </w:r>
          </w:p>
        </w:tc>
        <w:tc>
          <w:tcPr/>
          <w:p>
            <w:pPr>
              <w:pStyle w:val="Compact"/>
            </w:pPr>
            <w:r>
              <w:t xml:space="preserve">Masses, désintégrations, fits</w:t>
            </w:r>
          </w:p>
        </w:tc>
        <w:tc>
          <w:tcPr/>
          <w:p>
            <w:pPr>
              <w:pStyle w:val="Compact"/>
            </w:pPr>
            <w:r>
              <w:t xml:space="preserve">Forte pour certains effets, structure ouverte</w:t>
            </w:r>
          </w:p>
        </w:tc>
      </w:tr>
      <w:tr>
        <w:tc>
          <w:tcPr/>
          <w:p>
            <w:pPr>
              <w:pStyle w:val="Compact"/>
            </w:pPr>
            <w:r>
              <w:t xml:space="preserve">(m_f)</w:t>
            </w:r>
          </w:p>
        </w:tc>
        <w:tc>
          <w:tcPr/>
          <w:p>
            <w:pPr>
              <w:pStyle w:val="Compact"/>
            </w:pPr>
            <w:r>
              <w:t xml:space="preserve">Stabiliser les masses basse énergie</w:t>
            </w:r>
          </w:p>
        </w:tc>
        <w:tc>
          <w:tcPr/>
          <w:p>
            <w:pPr>
              <w:pStyle w:val="Compact"/>
            </w:pPr>
            <w:r>
              <w:t xml:space="preserve">Régime brisé</w:t>
            </w:r>
          </w:p>
        </w:tc>
        <w:tc>
          <w:tcPr/>
          <w:p>
            <w:pPr>
              <w:pStyle w:val="Compact"/>
            </w:pPr>
            <w:r>
              <w:t xml:space="preserve">Mesures directes/indirectes, schémas pour quarks</w:t>
            </w:r>
          </w:p>
        </w:tc>
        <w:tc>
          <w:tcPr/>
          <w:p>
            <w:pPr>
              <w:pStyle w:val="Compact"/>
            </w:pPr>
            <w:r>
              <w:t xml:space="preserve">Variable selon fermion</w:t>
            </w:r>
          </w:p>
        </w:tc>
      </w:tr>
      <w:tr>
        <w:tc>
          <w:tcPr/>
          <w:p>
            <w:pPr>
              <w:pStyle w:val="Compact"/>
            </w:pPr>
            <w:r>
              <w:t xml:space="preserve">CKM</w:t>
            </w:r>
          </w:p>
        </w:tc>
        <w:tc>
          <w:tcPr/>
          <w:p>
            <w:pPr>
              <w:pStyle w:val="Compact"/>
            </w:pPr>
            <w:r>
              <w:t xml:space="preserve">Orienter les transitions faibles quark</w:t>
            </w:r>
          </w:p>
        </w:tc>
        <w:tc>
          <w:tcPr/>
          <w:p>
            <w:pPr>
              <w:pStyle w:val="Compact"/>
            </w:pPr>
            <w:r>
              <w:t xml:space="preserve">Régime électrofaible brisé + saveur quark</w:t>
            </w:r>
          </w:p>
        </w:tc>
        <w:tc>
          <w:tcPr/>
          <w:p>
            <w:pPr>
              <w:pStyle w:val="Compact"/>
            </w:pPr>
            <w:r>
              <w:t xml:space="preserve">Désintégrations, mésons, fits globaux</w:t>
            </w:r>
          </w:p>
        </w:tc>
        <w:tc>
          <w:tcPr/>
          <w:p>
            <w:pPr>
              <w:pStyle w:val="Compact"/>
            </w:pPr>
            <w:r>
              <w:t xml:space="preserve">Forte globale, tensions locales</w:t>
            </w:r>
          </w:p>
        </w:tc>
      </w:tr>
      <w:tr>
        <w:tc>
          <w:tcPr/>
          <w:p>
            <w:pPr>
              <w:pStyle w:val="Compact"/>
            </w:pPr>
            <w:r>
              <w:t xml:space="preserve">Wolfenstein</w:t>
            </w:r>
          </w:p>
        </w:tc>
        <w:tc>
          <w:tcPr/>
          <w:p>
            <w:pPr>
              <w:pStyle w:val="Compact"/>
            </w:pPr>
            <w:r>
              <w:t xml:space="preserve">Hiérarchiser CKM</w:t>
            </w:r>
          </w:p>
        </w:tc>
        <w:tc>
          <w:tcPr/>
          <w:p>
            <w:pPr>
              <w:pStyle w:val="Compact"/>
            </w:pPr>
            <w:r>
              <w:t xml:space="preserve">Même régime que CKM</w:t>
            </w:r>
          </w:p>
        </w:tc>
        <w:tc>
          <w:tcPr/>
          <w:p>
            <w:pPr>
              <w:pStyle w:val="Compact"/>
            </w:pPr>
            <w:r>
              <w:t xml:space="preserve">Fits globaux CKM</w:t>
            </w:r>
          </w:p>
        </w:tc>
        <w:tc>
          <w:tcPr/>
          <w:p>
            <w:pPr>
              <w:pStyle w:val="Compact"/>
            </w:pPr>
            <w:r>
              <w:t xml:space="preserve">Forte globale</w:t>
            </w:r>
          </w:p>
        </w:tc>
      </w:tr>
      <w:tr>
        <w:tc>
          <w:tcPr/>
          <w:p>
            <w:pPr>
              <w:pStyle w:val="Compact"/>
            </w:pPr>
            <w:r>
              <w:t xml:space="preserve">PMNS</w:t>
            </w:r>
          </w:p>
        </w:tc>
        <w:tc>
          <w:tcPr/>
          <w:p>
            <w:pPr>
              <w:pStyle w:val="Compact"/>
            </w:pPr>
            <w:r>
              <w:t xml:space="preserve">Orienter saveur/masse neutrino</w:t>
            </w:r>
          </w:p>
        </w:tc>
        <w:tc>
          <w:tcPr/>
          <w:p>
            <w:pPr>
              <w:pStyle w:val="Compact"/>
            </w:pPr>
            <w:r>
              <w:t xml:space="preserve">Secteur neutrino massif</w:t>
            </w:r>
          </w:p>
        </w:tc>
        <w:tc>
          <w:tcPr/>
          <w:p>
            <w:pPr>
              <w:pStyle w:val="Compact"/>
            </w:pPr>
            <w:r>
              <w:t xml:space="preserve">Oscillations</w:t>
            </w:r>
          </w:p>
        </w:tc>
        <w:tc>
          <w:tcPr/>
          <w:p>
            <w:pPr>
              <w:pStyle w:val="Compact"/>
            </w:pPr>
            <w:r>
              <w:t xml:space="preserve">Forte pour certains angles, partielle pour d’autres</w:t>
            </w:r>
          </w:p>
        </w:tc>
      </w:tr>
      <w:tr>
        <w:tc>
          <w:tcPr/>
          <w:p>
            <w:pPr>
              <w:pStyle w:val="Compact"/>
            </w:pPr>
            <w:r>
              <w:t xml:space="preserve">(</w:t>
            </w:r>
            <w:r>
              <w:t xml:space="preserve">_{</w:t>
            </w:r>
            <w:r>
              <w:t xml:space="preserve">})</w:t>
            </w:r>
          </w:p>
        </w:tc>
        <w:tc>
          <w:tcPr/>
          <w:p>
            <w:pPr>
              <w:pStyle w:val="Compact"/>
            </w:pPr>
            <w:r>
              <w:t xml:space="preserve">Orientation complexe CP</w:t>
            </w:r>
          </w:p>
        </w:tc>
        <w:tc>
          <w:tcPr/>
          <w:p>
            <w:pPr>
              <w:pStyle w:val="Compact"/>
            </w:pPr>
            <w:r>
              <w:t xml:space="preserve">Secteur neutrino oscillatoire</w:t>
            </w:r>
          </w:p>
        </w:tc>
        <w:tc>
          <w:tcPr/>
          <w:p>
            <w:pPr>
              <w:pStyle w:val="Compact"/>
            </w:pPr>
            <w:r>
              <w:t xml:space="preserve">Longue ligne de base</w:t>
            </w:r>
          </w:p>
        </w:tc>
        <w:tc>
          <w:tcPr/>
          <w:p>
            <w:pPr>
              <w:pStyle w:val="Compact"/>
            </w:pPr>
            <w:r>
              <w:t xml:space="preserve">En cours</w:t>
            </w:r>
          </w:p>
        </w:tc>
      </w:tr>
      <w:tr>
        <w:tc>
          <w:tcPr/>
          <w:p>
            <w:pPr>
              <w:pStyle w:val="Compact"/>
            </w:pPr>
            <w:r>
              <w:t xml:space="preserve">(</w:t>
            </w:r>
            <w:r>
              <w:t xml:space="preserve">m^2)</w:t>
            </w:r>
          </w:p>
        </w:tc>
        <w:tc>
          <w:tcPr/>
          <w:p>
            <w:pPr>
              <w:pStyle w:val="Compact"/>
            </w:pPr>
            <w:r>
              <w:t xml:space="preserve">Fixer des écarts spectraux</w:t>
            </w:r>
          </w:p>
        </w:tc>
        <w:tc>
          <w:tcPr/>
          <w:p>
            <w:pPr>
              <w:pStyle w:val="Compact"/>
            </w:pPr>
            <w:r>
              <w:t xml:space="preserve">Secteur neutrino massif</w:t>
            </w:r>
          </w:p>
        </w:tc>
        <w:tc>
          <w:tcPr/>
          <w:p>
            <w:pPr>
              <w:pStyle w:val="Compact"/>
            </w:pPr>
            <w:r>
              <w:t xml:space="preserve">Oscillations</w:t>
            </w:r>
          </w:p>
        </w:tc>
        <w:tc>
          <w:tcPr/>
          <w:p>
            <w:pPr>
              <w:pStyle w:val="Compact"/>
            </w:pPr>
            <w:r>
              <w:t xml:space="preserve">Forte</w:t>
            </w:r>
          </w:p>
        </w:tc>
      </w:tr>
      <w:tr>
        <w:tc>
          <w:tcPr/>
          <w:p>
            <w:pPr>
              <w:pStyle w:val="Compact"/>
            </w:pPr>
            <w:r>
              <w:t xml:space="preserve">(m_</w:t>
            </w:r>
            <w:r>
              <w:t xml:space="preserve">) absolue</w:t>
            </w:r>
          </w:p>
        </w:tc>
        <w:tc>
          <w:tcPr/>
          <w:p>
            <w:pPr>
              <w:pStyle w:val="Compact"/>
            </w:pPr>
            <w:r>
              <w:t xml:space="preserve">Ancrer le spectre</w:t>
            </w:r>
          </w:p>
        </w:tc>
        <w:tc>
          <w:tcPr/>
          <w:p>
            <w:pPr>
              <w:pStyle w:val="Compact"/>
            </w:pPr>
            <w:r>
              <w:t xml:space="preserve">Secteur neutrino massif</w:t>
            </w:r>
          </w:p>
        </w:tc>
        <w:tc>
          <w:tcPr/>
          <w:p>
            <w:pPr>
              <w:pStyle w:val="Compact"/>
            </w:pPr>
            <w:r>
              <w:t xml:space="preserve">KATRIN, cosmologie, (0</w:t>
            </w:r>
            <w:r>
              <w:t xml:space="preserve">)</w:t>
            </w:r>
          </w:p>
        </w:tc>
        <w:tc>
          <w:tcPr/>
          <w:p>
            <w:pPr>
              <w:pStyle w:val="Compact"/>
            </w:pPr>
            <w:r>
              <w:t xml:space="preserve">Bornée / ouverte</w:t>
            </w:r>
          </w:p>
        </w:tc>
      </w:tr>
    </w:tbl>
    <w:p>
      <w:pPr>
        <w:pStyle w:val="BodyText"/>
      </w:pPr>
      <w:r>
        <w:t xml:space="preserve">Cette table montre pourquoi le secteur ne doit pas être réduit à un seul type de constante.</w:t>
      </w:r>
    </w:p>
    <w:bookmarkEnd w:id="32"/>
    <w:bookmarkStart w:id="33" w:name="ce-que-la-note-clarifie"/>
    <w:p>
      <w:pPr>
        <w:pStyle w:val="Heading2"/>
      </w:pPr>
      <w:r>
        <w:t xml:space="preserve">13. Ce que la note clarifie</w:t>
      </w:r>
    </w:p>
    <w:p>
      <w:pPr>
        <w:pStyle w:val="FirstParagraph"/>
      </w:pPr>
      <w:r>
        <w:t xml:space="preserve">Cette note clarifie quatre points.</w:t>
      </w:r>
    </w:p>
    <w:p>
      <w:pPr>
        <w:pStyle w:val="BodyText"/>
      </w:pPr>
      <w:r>
        <w:t xml:space="preserve">Premièrement, (v) doit être traité comme une échelle structurante, non comme un générateur isolé.</w:t>
      </w:r>
    </w:p>
    <w:p>
      <w:pPr>
        <w:pStyle w:val="BodyText"/>
      </w:pPr>
      <w:r>
        <w:t xml:space="preserve">Deuxièmement, les Yukawa sont mieux compris comme des couplages de texture que comme une simple liste de constantes de différenciation.</w:t>
      </w:r>
    </w:p>
    <w:p>
      <w:pPr>
        <w:pStyle w:val="BodyText"/>
      </w:pPr>
      <w:r>
        <w:t xml:space="preserve">Troisièmement, les masses fermioniques sont des valeurs stabilisées issues d’une relation entre (v) et les Yukawa, non des constantes primitives indépendantes.</w:t>
      </w:r>
    </w:p>
    <w:p>
      <w:pPr>
        <w:pStyle w:val="BodyText"/>
      </w:pPr>
      <w:r>
        <w:t xml:space="preserve">Quatrièmement, CKM et PMNS sont deux sous-types d’une même famille Orientation, mais avec des manifestations différentes :</w:t>
      </w:r>
    </w:p>
    <w:p>
      <w:pPr>
        <w:pStyle w:val="BodyText"/>
      </w:pPr>
      <w:r>
        <w:t xml:space="preserve">[</w:t>
      </w:r>
      <w:r>
        <w:t xml:space="preserve"> </w:t>
      </w:r>
      <w:r>
        <w:t xml:space="preserve"> </w:t>
      </w:r>
      <w:r>
        <w:t xml:space="preserve">]</w:t>
      </w:r>
    </w:p>
    <w:p>
      <w:pPr>
        <w:pStyle w:val="BodyText"/>
      </w:pPr>
      <w:r>
        <w:t xml:space="preserve">pour CKM,</w:t>
      </w:r>
    </w:p>
    <w:p>
      <w:pPr>
        <w:pStyle w:val="BodyText"/>
      </w:pPr>
      <w:r>
        <w:t xml:space="preserve">[</w:t>
      </w:r>
      <w:r>
        <w:t xml:space="preserve"> </w:t>
      </w:r>
      <w:r>
        <w:t xml:space="preserve"> </w:t>
      </w:r>
      <w:r>
        <w:t xml:space="preserve">]</w:t>
      </w:r>
    </w:p>
    <w:p>
      <w:pPr>
        <w:pStyle w:val="BodyText"/>
      </w:pPr>
      <w:r>
        <w:t xml:space="preserve">pour PMNS.</w:t>
      </w:r>
    </w:p>
    <w:bookmarkEnd w:id="33"/>
    <w:bookmarkStart w:id="34" w:name="ce-que-la-note-ne-résout-pas"/>
    <w:p>
      <w:pPr>
        <w:pStyle w:val="Heading2"/>
      </w:pPr>
      <w:r>
        <w:t xml:space="preserve">14. Ce que la note ne résout pas</w:t>
      </w:r>
    </w:p>
    <w:p>
      <w:pPr>
        <w:pStyle w:val="FirstParagraph"/>
      </w:pPr>
      <w:r>
        <w:t xml:space="preserve">Cette note ne résout pas le problème de la saveur.</w:t>
      </w:r>
    </w:p>
    <w:p>
      <w:pPr>
        <w:pStyle w:val="BodyText"/>
      </w:pPr>
      <w:r>
        <w:t xml:space="preserve">Elle ne dit pas pourquoi les Yukawa ont leurs valeurs.</w:t>
      </w:r>
    </w:p>
    <w:p>
      <w:pPr>
        <w:pStyle w:val="BodyText"/>
      </w:pPr>
      <w:r>
        <w:t xml:space="preserve">Elle ne dit pas pourquoi la hiérarchie des masses fermioniques est aussi extrême.</w:t>
      </w:r>
    </w:p>
    <w:p>
      <w:pPr>
        <w:pStyle w:val="BodyText"/>
      </w:pPr>
      <w:r>
        <w:t xml:space="preserve">Elle ne dit pas pourquoi CKM est faiblement mélangée alors que PMNS présente de grands angles.</w:t>
      </w:r>
    </w:p>
    <w:p>
      <w:pPr>
        <w:pStyle w:val="BodyText"/>
      </w:pPr>
      <w:r>
        <w:t xml:space="preserve">Elle ne tranche pas la nature Dirac ou Majorana des neutrinos.</w:t>
      </w:r>
    </w:p>
    <w:p>
      <w:pPr>
        <w:pStyle w:val="BodyText"/>
      </w:pPr>
      <w:r>
        <w:t xml:space="preserve">Elle ne donne pas une origine dynamique aux textures de Yukawa.</w:t>
      </w:r>
    </w:p>
    <w:p>
      <w:pPr>
        <w:pStyle w:val="BodyText"/>
      </w:pPr>
      <w:r>
        <w:t xml:space="preserve">Son rôle est plus modeste et plus méthodologique :</w:t>
      </w:r>
    </w:p>
    <w:p>
      <w:pPr>
        <w:pStyle w:val="BodyText"/>
      </w:pPr>
      <w:r>
        <w:t xml:space="preserve">[</w:t>
      </w:r>
      <w:r>
        <w:t xml:space="preserve"> </w:t>
      </w:r>
      <w:r>
        <w:t xml:space="preserve"> </w:t>
      </w:r>
      <w:r>
        <w:t xml:space="preserve">]</w:t>
      </w:r>
    </w:p>
    <w:bookmarkEnd w:id="34"/>
    <w:bookmarkStart w:id="35" w:name="X8166ded85d46f2628b7eebab8c640aaeda76e36"/>
    <w:p>
      <w:pPr>
        <w:pStyle w:val="Heading2"/>
      </w:pPr>
      <w:r>
        <w:t xml:space="preserve">15. Définition locale proposée : architecture de saveur</w:t>
      </w:r>
    </w:p>
    <w:p>
      <w:pPr>
        <w:pStyle w:val="FirstParagraph"/>
      </w:pPr>
      <w:r>
        <w:t xml:space="preserve">On peut définir l’architecture de saveur ainsi :</w:t>
      </w:r>
    </w:p>
    <w:p>
      <w:pPr>
        <w:pStyle w:val="BodyText"/>
      </w:pPr>
      <w:r>
        <w:rPr>
          <w:b/>
          <w:bCs/>
        </w:rPr>
        <w:t xml:space="preserve">Une architecture de saveur est l’ensemble formé par une échelle de brisure, des matrices de couplage, des spectres de masses et des matrices d’orientation, qui détermine la distribution des masses fermioniques et les transitions entre générations.</w:t>
      </w:r>
    </w:p>
    <w:p>
      <w:pPr>
        <w:pStyle w:val="BodyText"/>
      </w:pPr>
      <w:r>
        <w:t xml:space="preserve">Dans cette architecture :</w:t>
      </w:r>
    </w:p>
    <w:p>
      <w:pPr>
        <w:pStyle w:val="BodyText"/>
      </w:pPr>
      <w:r>
        <w:t xml:space="preserve">[</w:t>
      </w:r>
      <w:r>
        <w:t xml:space="preserve"> </w:t>
      </w:r>
      <w:r>
        <w:t xml:space="preserve">v</w:t>
      </w:r>
      <w:r>
        <w:t xml:space="preserve"> </w:t>
      </w:r>
      <w:r>
        <w:t xml:space="preserve">]</w:t>
      </w:r>
    </w:p>
    <w:p>
      <w:pPr>
        <w:pStyle w:val="BodyText"/>
      </w:pPr>
      <w:r>
        <w:t xml:space="preserve">est l’échelle,</w:t>
      </w:r>
    </w:p>
    <w:p>
      <w:pPr>
        <w:pStyle w:val="BodyText"/>
      </w:pPr>
      <w:r>
        <w:t xml:space="preserve">[</w:t>
      </w:r>
      <w:r>
        <w:t xml:space="preserve"> </w:t>
      </w:r>
      <w:r>
        <w:t xml:space="preserve">Y_f</w:t>
      </w:r>
      <w:r>
        <w:t xml:space="preserve"> </w:t>
      </w:r>
      <w:r>
        <w:t xml:space="preserve">]</w:t>
      </w:r>
    </w:p>
    <w:p>
      <w:pPr>
        <w:pStyle w:val="BodyText"/>
      </w:pPr>
      <w:r>
        <w:t xml:space="preserve">sont les textures de couplage,</w:t>
      </w:r>
    </w:p>
    <w:p>
      <w:pPr>
        <w:pStyle w:val="BodyText"/>
      </w:pPr>
      <w:r>
        <w:t xml:space="preserve">[</w:t>
      </w:r>
      <w:r>
        <w:t xml:space="preserve"> </w:t>
      </w:r>
      <w:r>
        <w:t xml:space="preserve">m_f</w:t>
      </w:r>
      <w:r>
        <w:t xml:space="preserve"> </w:t>
      </w:r>
      <w:r>
        <w:t xml:space="preserve">]</w:t>
      </w:r>
    </w:p>
    <w:p>
      <w:pPr>
        <w:pStyle w:val="BodyText"/>
      </w:pPr>
      <w:r>
        <w:t xml:space="preserve">sont les valeurs spectrales stabilisées,</w:t>
      </w:r>
    </w:p>
    <w:p>
      <w:pPr>
        <w:pStyle w:val="BodyText"/>
      </w:pPr>
      <w:r>
        <w:t xml:space="preserve">[</w:t>
      </w:r>
      <w:r>
        <w:t xml:space="preserve"> </w:t>
      </w:r>
      <w:r>
        <w:t xml:space="preserve">V_{</w:t>
      </w:r>
      <w:r>
        <w:t xml:space="preserve">},</w:t>
      </w:r>
      <w:r>
        <w:t xml:space="preserve">U_{</w:t>
      </w:r>
      <w:r>
        <w:t xml:space="preserve">}</w:t>
      </w:r>
      <w:r>
        <w:t xml:space="preserve"> </w:t>
      </w:r>
      <w:r>
        <w:t xml:space="preserve">]</w:t>
      </w:r>
    </w:p>
    <w:p>
      <w:pPr>
        <w:pStyle w:val="BodyText"/>
      </w:pPr>
      <w:r>
        <w:t xml:space="preserve">sont les orientations observables.</w:t>
      </w:r>
    </w:p>
    <w:p>
      <w:pPr>
        <w:pStyle w:val="BodyText"/>
      </w:pPr>
      <w:r>
        <w:t xml:space="preserve">Cette définition permet de traiter le secteur comme une structure, non comme une collection.</w:t>
      </w:r>
    </w:p>
    <w:bookmarkEnd w:id="35"/>
    <w:bookmarkStart w:id="36" w:name="effet-sur-la-carte-consolidée"/>
    <w:p>
      <w:pPr>
        <w:pStyle w:val="Heading2"/>
      </w:pPr>
      <w:r>
        <w:t xml:space="preserve">16. Effet sur la carte consolidée</w:t>
      </w:r>
    </w:p>
    <w:p>
      <w:pPr>
        <w:pStyle w:val="FirstParagraph"/>
      </w:pPr>
      <w:r>
        <w:t xml:space="preserve">La prochaine carte consolidée devra intégrer la notion :</w:t>
      </w:r>
    </w:p>
    <w:p>
      <w:pPr>
        <w:pStyle w:val="BodyText"/>
      </w:pPr>
      <w:r>
        <w:t xml:space="preserve">[</w:t>
      </w:r>
      <w:r>
        <w:t xml:space="preserve"> </w:t>
      </w:r>
      <w:r>
        <w:t xml:space="preserve"> </w:t>
      </w:r>
      <w:r>
        <w:t xml:space="preserve">]</w:t>
      </w:r>
    </w:p>
    <w:p>
      <w:pPr>
        <w:pStyle w:val="BodyText"/>
      </w:pPr>
      <w:r>
        <w:t xml:space="preserve">non comme une famille supérieure supplémentaire, mais comme une</w:t>
      </w:r>
      <w:r>
        <w:t xml:space="preserve"> </w:t>
      </w:r>
      <w:r>
        <w:rPr>
          <w:b/>
          <w:bCs/>
        </w:rPr>
        <w:t xml:space="preserve">configuration inter-familles</w:t>
      </w:r>
      <w:r>
        <w:t xml:space="preserve">.</w:t>
      </w:r>
    </w:p>
    <w:p>
      <w:pPr>
        <w:pStyle w:val="BodyText"/>
      </w:pPr>
      <w:r>
        <w:t xml:space="preserve">Elle combine :</w:t>
      </w:r>
    </w:p>
    <w:p>
      <w:pPr>
        <w:pStyle w:val="BodyText"/>
      </w:pPr>
      <w:r>
        <w:t xml:space="preserve">[</w:t>
      </w:r>
      <w:r>
        <w:t xml:space="preserve"> </w:t>
      </w:r>
    </w:p>
    <w:p>
      <w:pPr>
        <w:pStyle w:val="Compact"/>
        <w:numPr>
          <w:ilvl w:val="0"/>
          <w:numId w:val="1003"/>
        </w:numPr>
      </w:pPr>
      <w:r>
        <w:t xml:space="preserve">]</w:t>
      </w:r>
    </w:p>
    <w:p>
      <w:pPr>
        <w:pStyle w:val="FirstParagraph"/>
      </w:pPr>
      <w:r>
        <w:t xml:space="preserve">La carte devra donc distinguer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C’est un progrès important.</w:t>
      </w:r>
    </w:p>
    <w:p>
      <w:pPr>
        <w:pStyle w:val="BodyText"/>
      </w:pPr>
      <w:r>
        <w:t xml:space="preserve">Une famille classe une fonction.</w:t>
      </w:r>
    </w:p>
    <w:p>
      <w:pPr>
        <w:pStyle w:val="BodyText"/>
      </w:pPr>
      <w:r>
        <w:t xml:space="preserve">Une configuration décrit l’articulation de plusieurs fonctions dans un secteur physique.</w:t>
      </w:r>
    </w:p>
    <w:bookmarkEnd w:id="36"/>
    <w:bookmarkStart w:id="37" w:name="nouvelle-distinction-méthodologique"/>
    <w:p>
      <w:pPr>
        <w:pStyle w:val="Heading2"/>
      </w:pPr>
      <w:r>
        <w:t xml:space="preserve">17. Nouvelle distinction méthodologique</w:t>
      </w:r>
    </w:p>
    <w:p>
      <w:pPr>
        <w:pStyle w:val="FirstParagraph"/>
      </w:pPr>
      <w:r>
        <w:t xml:space="preserve">La note introduit une distinction nouvelle :</w:t>
      </w:r>
    </w:p>
    <w:p>
      <w:pPr>
        <w:pStyle w:val="BodyText"/>
      </w:pPr>
      <w:r>
        <w:t xml:space="preserve">[</w:t>
      </w:r>
      <w:r>
        <w:t xml:space="preserve"> </w:t>
      </w:r>
      <w:r>
        <w:t xml:space="preserve"> </w:t>
      </w:r>
      <w:r>
        <w:t xml:space="preserve">]</w:t>
      </w:r>
    </w:p>
    <w:p>
      <w:pPr>
        <w:pStyle w:val="BodyText"/>
      </w:pPr>
      <w:r>
        <w:t xml:space="preserve">versus :</w:t>
      </w:r>
    </w:p>
    <w:p>
      <w:pPr>
        <w:pStyle w:val="BodyText"/>
      </w:pPr>
      <w:r>
        <w:t xml:space="preserve">[</w:t>
      </w:r>
      <w:r>
        <w:t xml:space="preserve"> </w:t>
      </w:r>
      <w:r>
        <w:t xml:space="preserve"> </w:t>
      </w:r>
      <w:r>
        <w:t xml:space="preserve">]</w:t>
      </w:r>
    </w:p>
    <w:p>
      <w:pPr>
        <w:pStyle w:val="BodyText"/>
      </w:pPr>
      <w:r>
        <w:t xml:space="preserve">Une famille répond à la question :</w:t>
      </w:r>
    </w:p>
    <w:p>
      <w:pPr>
        <w:pStyle w:val="BodyText"/>
      </w:pPr>
      <w:r>
        <w:t xml:space="preserve">[</w:t>
      </w:r>
      <w:r>
        <w:t xml:space="preserve"> </w:t>
      </w:r>
      <w:r>
        <w:t xml:space="preserve"> </w:t>
      </w:r>
      <w:r>
        <w:t xml:space="preserve">]</w:t>
      </w:r>
    </w:p>
    <w:p>
      <w:pPr>
        <w:pStyle w:val="BodyText"/>
      </w:pPr>
      <w:r>
        <w:t xml:space="preserve">Une architecture répond à la question :</w:t>
      </w:r>
    </w:p>
    <w:p>
      <w:pPr>
        <w:pStyle w:val="BodyText"/>
      </w:pPr>
      <w:r>
        <w:t xml:space="preserve">[</w:t>
      </w:r>
      <w:r>
        <w:t xml:space="preserve"> </w:t>
      </w:r>
      <w:r>
        <w:t xml:space="preserve"> </w:t>
      </w:r>
      <w:r>
        <w:t xml:space="preserve">]</w:t>
      </w:r>
    </w:p>
    <w:p>
      <w:pPr>
        <w:pStyle w:val="BodyText"/>
      </w:pPr>
      <w:r>
        <w:t xml:space="preserve">Le secteur saveur-Higgs n’est donc pas une famille. C’est une architecture.</w:t>
      </w:r>
    </w:p>
    <w:p>
      <w:pPr>
        <w:pStyle w:val="BodyText"/>
      </w:pPr>
      <w:r>
        <w:t xml:space="preserve">Cette distinction empêchera de créer une famille</w:t>
      </w:r>
      <w:r>
        <w:t xml:space="preserve"> </w:t>
      </w:r>
      <w:r>
        <w:t xml:space="preserve">“saveur”</w:t>
      </w:r>
      <w:r>
        <w:t xml:space="preserve"> </w:t>
      </w:r>
      <w:r>
        <w:t xml:space="preserve">qui absorberait trop de choses.</w:t>
      </w:r>
    </w:p>
    <w:bookmarkEnd w:id="37"/>
    <w:bookmarkStart w:id="38" w:name="formule-de-travail"/>
    <w:p>
      <w:pPr>
        <w:pStyle w:val="Heading2"/>
      </w:pPr>
      <w:r>
        <w:t xml:space="preserve">18. Formule de travail</w:t>
      </w:r>
    </w:p>
    <w:p>
      <w:pPr>
        <w:pStyle w:val="FirstParagraph"/>
      </w:pPr>
      <w:r>
        <w:t xml:space="preserve">La formule issue de cette consolidation est :</w:t>
      </w:r>
    </w:p>
    <w:p>
      <w:pPr>
        <w:pStyle w:val="BodyText"/>
      </w:pPr>
      <w:r>
        <w:rPr>
          <w:b/>
          <w:bCs/>
        </w:rPr>
        <w:t xml:space="preserve">Dans le secteur saveur-Higgs, la constance n’est pas portée par un seul type de grandeur, mais par une architecture : une échelle commune, des textures de couplage, des spectres de masses et des orientations entre bases.</w:t>
      </w:r>
    </w:p>
    <w:p>
      <w:pPr>
        <w:pStyle w:val="BodyText"/>
      </w:pPr>
      <w:r>
        <w:t xml:space="preserve">Ou, sous forme condensée :</w:t>
      </w:r>
    </w:p>
    <w:p>
      <w:pPr>
        <w:pStyle w:val="BodyText"/>
      </w:pPr>
      <w:r>
        <w:t xml:space="preserve">[</w:t>
      </w:r>
      <w:r>
        <w:t xml:space="preserve"> </w:t>
      </w:r>
      <w:r>
        <w:t xml:space="preserve"> </w:t>
      </w:r>
      <w:r>
        <w:t xml:space="preserve">=</w:t>
      </w:r>
      <w:r>
        <w:t xml:space="preserve"> </w:t>
      </w:r>
    </w:p>
    <w:p>
      <w:pPr>
        <w:pStyle w:val="Compact"/>
        <w:numPr>
          <w:ilvl w:val="0"/>
          <w:numId w:val="1004"/>
        </w:numPr>
      </w:pPr>
      <w:r>
        <w:t xml:space="preserve">]</w:t>
      </w:r>
    </w:p>
    <w:p>
      <w:pPr>
        <w:pStyle w:val="FirstParagraph"/>
      </w:pPr>
      <w:r>
        <w:t xml:space="preserve">avec, pour les neutrinos :</w:t>
      </w:r>
    </w:p>
    <w:p>
      <w:pPr>
        <w:pStyle w:val="BodyText"/>
      </w:pPr>
      <w:r>
        <w:t xml:space="preserve">[</w:t>
      </w:r>
      <w:r>
        <w:t xml:space="preserve"> </w:t>
      </w:r>
      <w:r>
        <w:t xml:space="preserve">+ </w:t>
      </w:r>
      <w:r>
        <w:t xml:space="preserve"> </w:t>
      </w:r>
      <w:r>
        <w:t xml:space="preserve">]</w:t>
      </w:r>
    </w:p>
    <w:bookmarkEnd w:id="38"/>
    <w:bookmarkStart w:id="39" w:name="critère-de-réussite"/>
    <w:p>
      <w:pPr>
        <w:pStyle w:val="Heading2"/>
      </w:pPr>
      <w:r>
        <w:t xml:space="preserve">19. Critère de réussite</w:t>
      </w:r>
    </w:p>
    <w:p>
      <w:pPr>
        <w:pStyle w:val="FirstParagraph"/>
      </w:pPr>
      <w:r>
        <w:t xml:space="preserve">Cette note réussit si elle empêche trois erreurs.</w:t>
      </w:r>
    </w:p>
    <w:p>
      <w:pPr>
        <w:pStyle w:val="BodyText"/>
      </w:pPr>
      <w:r>
        <w:t xml:space="preserve">Première erreur :</w:t>
      </w:r>
    </w:p>
    <w:p>
      <w:pPr>
        <w:pStyle w:val="BodyText"/>
      </w:pPr>
      <w:r>
        <w:t xml:space="preserve">[</w:t>
      </w:r>
      <w:r>
        <w:t xml:space="preserve"> </w:t>
      </w:r>
      <w:r>
        <w:t xml:space="preserve">v, y_f, m_f, CKM</w:t>
      </w:r>
      <w:r>
        <w:t xml:space="preserve"> </w:t>
      </w:r>
      <w:r>
        <w:t xml:space="preserve">]</w:t>
      </w:r>
    </w:p>
    <w:p>
      <w:pPr>
        <w:pStyle w:val="BodyText"/>
      </w:pPr>
      <w:r>
        <w:t xml:space="preserve">comme quatre familles indépendantes.</w:t>
      </w:r>
    </w:p>
    <w:p>
      <w:pPr>
        <w:pStyle w:val="BodyText"/>
      </w:pPr>
      <w:r>
        <w:t xml:space="preserve">Deuxième erreur :</w:t>
      </w:r>
    </w:p>
    <w:p>
      <w:pPr>
        <w:pStyle w:val="BodyText"/>
      </w:pPr>
      <w:r>
        <w:t xml:space="preserve">[</w:t>
      </w:r>
      <w:r>
        <w:t xml:space="preserve"> </w:t>
      </w:r>
      <w:r>
        <w:t xml:space="preserve">PMNS</w:t>
      </w:r>
      <w:r>
        <w:t xml:space="preserve"> </w:t>
      </w:r>
      <w:r>
        <w:t xml:space="preserve">]</w:t>
      </w:r>
    </w:p>
    <w:p>
      <w:pPr>
        <w:pStyle w:val="BodyText"/>
      </w:pPr>
      <w:r>
        <w:t xml:space="preserve">comme catégorie purement oscillatoire.</w:t>
      </w:r>
    </w:p>
    <w:p>
      <w:pPr>
        <w:pStyle w:val="BodyText"/>
      </w:pPr>
      <w:r>
        <w:t xml:space="preserve">Troisième erreur :</w:t>
      </w:r>
    </w:p>
    <w:p>
      <w:pPr>
        <w:pStyle w:val="BodyText"/>
      </w:pPr>
      <w:r>
        <w:t xml:space="preserve">[</w:t>
      </w:r>
      <w:r>
        <w:t xml:space="preserve"> </w:t>
      </w:r>
      <w:r>
        <w:t xml:space="preserve"> </w:t>
      </w:r>
      <w:r>
        <w:t xml:space="preserve">]</w:t>
      </w:r>
    </w:p>
    <w:p>
      <w:pPr>
        <w:pStyle w:val="BodyText"/>
      </w:pPr>
      <w:r>
        <w:t xml:space="preserve">comme famille unique trop large.</w:t>
      </w:r>
    </w:p>
    <w:p>
      <w:pPr>
        <w:pStyle w:val="BodyText"/>
      </w:pPr>
      <w:r>
        <w:t xml:space="preserve">La bonne solution est intermédiaire :</w:t>
      </w:r>
    </w:p>
    <w:p>
      <w:pPr>
        <w:pStyle w:val="BodyText"/>
      </w:pPr>
      <w:r>
        <w:t xml:space="preserve">[</w:t>
      </w:r>
      <w:r>
        <w:t xml:space="preserve"> </w:t>
      </w:r>
      <w:r>
        <w:t xml:space="preserve"> </w:t>
      </w:r>
      <w:r>
        <w:t xml:space="preserve">]</w:t>
      </w:r>
    </w:p>
    <w:p>
      <w:pPr>
        <w:pStyle w:val="BodyText"/>
      </w:pPr>
      <w:r>
        <w:t xml:space="preserve">comme architecture inter-familles.</w:t>
      </w:r>
    </w:p>
    <w:bookmarkEnd w:id="39"/>
    <w:bookmarkStart w:id="40" w:name="prochaine-étape"/>
    <w:p>
      <w:pPr>
        <w:pStyle w:val="Heading2"/>
      </w:pPr>
      <w:r>
        <w:t xml:space="preserve">20. Prochaine étape</w:t>
      </w:r>
    </w:p>
    <w:p>
      <w:pPr>
        <w:pStyle w:val="FirstParagraph"/>
      </w:pPr>
      <w:r>
        <w:t xml:space="preserve">La prochaine étape logique est :</w:t>
      </w:r>
    </w:p>
    <w:p>
      <w:pPr>
        <w:pStyle w:val="BodyText"/>
      </w:pPr>
      <w:r>
        <w:rPr>
          <w:b/>
          <w:bCs/>
        </w:rPr>
        <w:t xml:space="preserve">Carte consolidée v0.5 — introduction des architectures inter-familles</w:t>
      </w:r>
    </w:p>
    <w:p>
      <w:pPr>
        <w:pStyle w:val="BodyText"/>
      </w:pPr>
      <w:r>
        <w:t xml:space="preserve">Cette carte devra conserver les familles fonctionnelles de la v0.4, mais ajouter un niveau supérieur d’organisation :</w:t>
      </w:r>
    </w:p>
    <w:p>
      <w:pPr>
        <w:pStyle w:val="BodyText"/>
      </w:pPr>
      <w:r>
        <w:t xml:space="preserve">[</w:t>
      </w:r>
      <w:r>
        <w:t xml:space="preserve"> </w:t>
      </w:r>
      <w:r>
        <w:t xml:space="preserve"> </w:t>
      </w:r>
      <w:r>
        <w:t xml:space="preserve">]</w:t>
      </w:r>
    </w:p>
    <w:p>
      <w:pPr>
        <w:pStyle w:val="BodyText"/>
      </w:pPr>
      <w:r>
        <w:t xml:space="preserve">Le premier exemple sera :</w:t>
      </w:r>
    </w:p>
    <w:p>
      <w:pPr>
        <w:pStyle w:val="BodyText"/>
      </w:pPr>
      <w:r>
        <w:t xml:space="preserve">[</w:t>
      </w:r>
      <w:r>
        <w:t xml:space="preserve"> </w:t>
      </w:r>
      <w:r>
        <w:t xml:space="preserve"> </w:t>
      </w:r>
      <w:r>
        <w:t xml:space="preserve">]</w:t>
      </w:r>
    </w:p>
    <w:p>
      <w:pPr>
        <w:pStyle w:val="BodyText"/>
      </w:pPr>
      <w:r>
        <w:t xml:space="preserve">Elle devra aussi indiquer que d’autres architectures pourront apparaître plus tard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Mais il faudra les introduire avec prudence, pour ne pas remplacer une inflation de catégories par une inflation d’architectures.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2026-07-09T06:30:31Z</dcterms:created>
  <dcterms:modified xsi:type="dcterms:W3CDTF">2026-07-09T06:30:31Z</dcterms:modified>
</cp:coreProperties>
</file>

<file path=docProps/custom.xml><?xml version="1.0" encoding="utf-8"?>
<Properties xmlns="http://schemas.openxmlformats.org/officeDocument/2006/custom-properties" xmlns:vt="http://schemas.openxmlformats.org/officeDocument/2006/docPropsVTypes"/>
</file>