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ynthèse-du-cycle-ckm-v0.1"/>
    <w:p>
      <w:pPr>
        <w:pStyle w:val="Heading1"/>
      </w:pPr>
      <w:r>
        <w:t xml:space="preserve">Synthèse du cycle CKM v0.1</w:t>
      </w:r>
    </w:p>
    <w:bookmarkStart w:id="20" w:name="Xe997c5c741d9d2a0871770dea246d0764cb7fab"/>
    <w:p>
      <w:pPr>
        <w:pStyle w:val="Heading2"/>
      </w:pPr>
      <w:r>
        <w:t xml:space="preserve">Orientation de saveur, hiérarchie et compression taxonomique</w:t>
      </w:r>
    </w:p>
    <w:bookmarkEnd w:id="20"/>
    <w:bookmarkStart w:id="21" w:name="fonction-de-cette-synthèse"/>
    <w:p>
      <w:pPr>
        <w:pStyle w:val="Heading2"/>
      </w:pPr>
      <w:r>
        <w:t xml:space="preserve">1. Fonction de cette synthèse</w:t>
      </w:r>
    </w:p>
    <w:p>
      <w:pPr>
        <w:pStyle w:val="FirstParagraph"/>
      </w:pPr>
      <w:r>
        <w:t xml:space="preserve">Le cycle CKM avait une fonction précise : tester la compression de la famille</w:t>
      </w:r>
      <w:r>
        <w:t xml:space="preserve"> </w:t>
      </w:r>
      <w:r>
        <w:rPr>
          <w:b/>
          <w:bCs/>
        </w:rPr>
        <w:t xml:space="preserve">Orientation</w:t>
      </w:r>
      <w:r>
        <w:t xml:space="preserve">.</w:t>
      </w:r>
    </w:p>
    <w:p>
      <w:pPr>
        <w:pStyle w:val="BodyText"/>
      </w:pPr>
      <w:r>
        <w:t xml:space="preserve">Après le cycle neutrino, la carte risquait de rester trop liée à la phénoménologie oscillatoire. Les catégories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étaient utiles localement, mais elles pouvaient être trop ajustées au seul cas PMNS.</w:t>
      </w:r>
    </w:p>
    <w:p>
      <w:pPr>
        <w:pStyle w:val="BodyText"/>
      </w:pPr>
      <w:r>
        <w:t xml:space="preserve">Le secteur CKM permet de vérifier si l’idée d’orientation peut être généralisée hors des oscillations. Les quarks ne sont pas observés comme particules libres oscillant sur de longues distances. Ils sont confinés dans des hadrons. Le mélange CKM se manifeste donc dans les transitions faibles, les désintégrations, les mélanges de mésons neutres et les observables de violation CP.</w:t>
      </w:r>
    </w:p>
    <w:p>
      <w:pPr>
        <w:pStyle w:val="BodyText"/>
      </w:pPr>
      <w:r>
        <w:t xml:space="preserve">Le test était donc le suivant :</w:t>
      </w:r>
    </w:p>
    <w:p>
      <w:pPr>
        <w:pStyle w:val="BodyText"/>
      </w:pPr>
      <w:r>
        <w:rPr>
          <w:b/>
          <w:bCs/>
        </w:rPr>
        <w:t xml:space="preserve">peut-on classer CKM dans la famille Orientation sans créer une nouvelle famille CKM ?</w:t>
      </w:r>
    </w:p>
    <w:p>
      <w:pPr>
        <w:pStyle w:val="BodyText"/>
      </w:pPr>
      <w:r>
        <w:t xml:space="preserve">La réponse est oui.</w:t>
      </w:r>
    </w:p>
    <w:bookmarkEnd w:id="21"/>
    <w:bookmarkStart w:id="22" w:name="résultat-général"/>
    <w:p>
      <w:pPr>
        <w:pStyle w:val="Heading2"/>
      </w:pPr>
      <w:r>
        <w:t xml:space="preserve">2. Résultat général</w:t>
      </w:r>
    </w:p>
    <w:p>
      <w:pPr>
        <w:pStyle w:val="FirstParagraph"/>
      </w:pPr>
      <w:r>
        <w:t xml:space="preserve">Le cycle CKM montre que la famille</w:t>
      </w:r>
      <w:r>
        <w:t xml:space="preserve"> </w:t>
      </w:r>
      <w:r>
        <w:rPr>
          <w:b/>
          <w:bCs/>
        </w:rPr>
        <w:t xml:space="preserve">Orientation</w:t>
      </w:r>
      <w:r>
        <w:t xml:space="preserve"> </w:t>
      </w:r>
      <w:r>
        <w:t xml:space="preserve">est robuste.</w:t>
      </w:r>
    </w:p>
    <w:p>
      <w:pPr>
        <w:pStyle w:val="BodyText"/>
      </w:pPr>
      <w:r>
        <w:t xml:space="preserve">Elle peut accueillir :</w:t>
      </w:r>
    </w:p>
    <w:p>
      <w:pPr>
        <w:pStyle w:val="BodyText"/>
      </w:pPr>
      <w:r>
        <w:t xml:space="preserve">[</w:t>
      </w:r>
      <w:r>
        <w:t xml:space="preserve"> </w:t>
      </w:r>
      <w:r>
        <w:t xml:space="preserve">_W</w:t>
      </w:r>
      <w:r>
        <w:t xml:space="preserve"> </w:t>
      </w:r>
      <w:r>
        <w:t xml:space="preserve">]</w:t>
      </w:r>
    </w:p>
    <w:p>
      <w:pPr>
        <w:pStyle w:val="BodyText"/>
      </w:pPr>
      <w:r>
        <w:t xml:space="preserve">comme orientation entre champs de jauge électrofaibles,</w:t>
      </w:r>
    </w:p>
    <w:p>
      <w:pPr>
        <w:pStyle w:val="BodyText"/>
      </w:pPr>
      <w:r>
        <w:t xml:space="preserve">[</w:t>
      </w:r>
      <w:r>
        <w:t xml:space="preserve"> </w:t>
      </w:r>
      <w:r>
        <w:t xml:space="preserve">PMNS</w:t>
      </w:r>
      <w:r>
        <w:t xml:space="preserve"> </w:t>
      </w:r>
      <w:r>
        <w:t xml:space="preserve">]</w:t>
      </w:r>
    </w:p>
    <w:p>
      <w:pPr>
        <w:pStyle w:val="BodyText"/>
      </w:pPr>
      <w:r>
        <w:t xml:space="preserve">comme orientation entre base de saveur et base de masse dans le secteur leptonique,</w:t>
      </w:r>
    </w:p>
    <w:p>
      <w:pPr>
        <w:pStyle w:val="BodyText"/>
      </w:pPr>
      <w:r>
        <w:t xml:space="preserve">[</w:t>
      </w:r>
      <w:r>
        <w:t xml:space="preserve"> </w:t>
      </w:r>
      <w:r>
        <w:t xml:space="preserve">CKM</w:t>
      </w:r>
      <w:r>
        <w:t xml:space="preserve"> </w:t>
      </w:r>
      <w:r>
        <w:t xml:space="preserve">]</w:t>
      </w:r>
    </w:p>
    <w:p>
      <w:pPr>
        <w:pStyle w:val="BodyText"/>
      </w:pPr>
      <w:r>
        <w:t xml:space="preserve">comme orientation entre base de masse et base d’interaction faible dans le secteur quark.</w:t>
      </w:r>
    </w:p>
    <w:p>
      <w:pPr>
        <w:pStyle w:val="BodyText"/>
      </w:pPr>
      <w:r>
        <w:t xml:space="preserve">Le résultat important est donc :</w:t>
      </w:r>
    </w:p>
    <w:p>
      <w:pPr>
        <w:pStyle w:val="BodyText"/>
      </w:pPr>
      <w:r>
        <w:rPr>
          <w:b/>
          <w:bCs/>
        </w:rPr>
        <w:t xml:space="preserve">l’oscillation n’est pas la famille générale ; elle est une manifestation locale de l’orientation dans le secteur neutrino.</w:t>
      </w:r>
    </w:p>
    <w:p>
      <w:pPr>
        <w:pStyle w:val="BodyText"/>
      </w:pPr>
      <w:r>
        <w:t xml:space="preserve">La famille générale est :</w:t>
      </w:r>
    </w:p>
    <w:p>
      <w:pPr>
        <w:pStyle w:val="BodyText"/>
      </w:pPr>
      <w:r>
        <w:t xml:space="preserve">[</w:t>
      </w:r>
      <w:r>
        <w:t xml:space="preserve"> </w:t>
      </w:r>
      <w:r>
        <w:t xml:space="preserve"> </w:t>
      </w:r>
      <w:r>
        <w:t xml:space="preserve">]</w:t>
      </w:r>
    </w:p>
    <w:p>
      <w:pPr>
        <w:pStyle w:val="BodyText"/>
      </w:pPr>
      <w:r>
        <w:t xml:space="preserve">Les sous-types locaux sont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cycle CKM confirme donc la compression : il ne faut pas multiplier les familles, mais distinguer les régimes de manifestation.</w:t>
      </w:r>
    </w:p>
    <w:bookmarkEnd w:id="22"/>
    <w:bookmarkStart w:id="23" w:name="ckm-comme-matrice-dorientation-de-saveur"/>
    <w:p>
      <w:pPr>
        <w:pStyle w:val="Heading2"/>
      </w:pPr>
      <w:r>
        <w:t xml:space="preserve">3. CKM comme matrice d’orientation de saveur</w:t>
      </w:r>
    </w:p>
    <w:p>
      <w:pPr>
        <w:pStyle w:val="FirstParagraph"/>
      </w:pPr>
      <w:r>
        <w:t xml:space="preserve">La matrice CKM décrit la manière dont les quarks de type up :</w:t>
      </w:r>
    </w:p>
    <w:p>
      <w:pPr>
        <w:pStyle w:val="BodyText"/>
      </w:pPr>
      <w:r>
        <w:t xml:space="preserve">[</w:t>
      </w:r>
      <w:r>
        <w:t xml:space="preserve"> </w:t>
      </w:r>
      <w:r>
        <w:t xml:space="preserve">u,</w:t>
      </w:r>
      <w:r>
        <w:t xml:space="preserve">c,</w:t>
      </w:r>
      <w:r>
        <w:t xml:space="preserve">t</w:t>
      </w:r>
      <w:r>
        <w:t xml:space="preserve"> </w:t>
      </w:r>
      <w:r>
        <w:t xml:space="preserve">]</w:t>
      </w:r>
    </w:p>
    <w:p>
      <w:pPr>
        <w:pStyle w:val="BodyText"/>
      </w:pPr>
      <w:r>
        <w:t xml:space="preserve">se couplent aux quarks de type down :</w:t>
      </w:r>
    </w:p>
    <w:p>
      <w:pPr>
        <w:pStyle w:val="BodyText"/>
      </w:pPr>
      <w:r>
        <w:t xml:space="preserve">[</w:t>
      </w:r>
      <w:r>
        <w:t xml:space="preserve"> </w:t>
      </w:r>
      <w:r>
        <w:t xml:space="preserve">d,</w:t>
      </w:r>
      <w:r>
        <w:t xml:space="preserve">s,</w:t>
      </w:r>
      <w:r>
        <w:t xml:space="preserve">b</w:t>
      </w:r>
      <w:r>
        <w:t xml:space="preserve"> </w:t>
      </w:r>
      <w:r>
        <w:t xml:space="preserve">]</w:t>
      </w:r>
    </w:p>
    <w:p>
      <w:pPr>
        <w:pStyle w:val="BodyText"/>
      </w:pPr>
      <w:r>
        <w:t xml:space="preserve">dans les courants faibles chargés.</w:t>
      </w:r>
    </w:p>
    <w:p>
      <w:pPr>
        <w:pStyle w:val="BodyText"/>
      </w:pPr>
      <w:r>
        <w:t xml:space="preserve">Elle apparaît après la brisure électrofaible et la diagonalisation des matrices de Yukawa des quarks. Sa fonction n’est pas de fixer une masse ou une échelle, mais d’exprimer un désalignement entre bases physiques.</w:t>
      </w:r>
    </w:p>
    <w:p>
      <w:pPr>
        <w:pStyle w:val="BodyText"/>
      </w:pPr>
      <w:r>
        <w:t xml:space="preserve">La formulation centrale est :</w:t>
      </w:r>
    </w:p>
    <w:p>
      <w:pPr>
        <w:pStyle w:val="BodyText"/>
      </w:pPr>
      <w:r>
        <w:t xml:space="preserve">[</w:t>
      </w:r>
      <w:r>
        <w:t xml:space="preserve"> </w:t>
      </w:r>
      <w:r>
        <w:t xml:space="preserve"> </w:t>
      </w:r>
      <w:r>
        <w:t xml:space="preserve">]</w:t>
      </w:r>
    </w:p>
    <w:p>
      <w:pPr>
        <w:pStyle w:val="BodyText"/>
      </w:pPr>
      <w:r>
        <w:t xml:space="preserve">Ce désalignement est une orientation. Il détermine quelles transitions faibles entre générations sont favorisées ou supprimées.</w:t>
      </w:r>
    </w:p>
    <w:p>
      <w:pPr>
        <w:pStyle w:val="BodyText"/>
      </w:pPr>
      <w:r>
        <w:t xml:space="preserve">CKM est donc une :</w:t>
      </w:r>
    </w:p>
    <w:p>
      <w:pPr>
        <w:pStyle w:val="BodyText"/>
      </w:pPr>
      <w:r>
        <w:t xml:space="preserve">[</w:t>
      </w:r>
      <w:r>
        <w:t xml:space="preserve"> </w:t>
      </w:r>
      <w:r>
        <w:t xml:space="preserve"> </w:t>
      </w:r>
      <w:r>
        <w:t xml:space="preserve">]</w:t>
      </w:r>
    </w:p>
    <w:p>
      <w:pPr>
        <w:pStyle w:val="BodyText"/>
      </w:pPr>
      <w:r>
        <w:t xml:space="preserve">au sens de la taxonomie.</w:t>
      </w:r>
    </w:p>
    <w:bookmarkEnd w:id="23"/>
    <w:bookmarkStart w:id="24" w:name="différence-décisive-avec-pmns"/>
    <w:p>
      <w:pPr>
        <w:pStyle w:val="Heading2"/>
      </w:pPr>
      <w:r>
        <w:t xml:space="preserve">4. Différence décisive avec PMNS</w:t>
      </w:r>
    </w:p>
    <w:p>
      <w:pPr>
        <w:pStyle w:val="FirstParagraph"/>
      </w:pPr>
      <w:r>
        <w:t xml:space="preserve">PMNS et CKM appartiennent à la même famille fonctionnelle, mais pas au même régime de manifestation.</w:t>
      </w:r>
    </w:p>
    <w:p>
      <w:pPr>
        <w:pStyle w:val="BodyText"/>
      </w:pPr>
      <w:r>
        <w:t xml:space="preserve">Dans le secteur neutrino, les états de saveur sont produits, se propagent comme superpositions d’états de masse, puis sont détectés comme saveurs. L’orientation PMNS se manifeste donc par des oscillations.</w:t>
      </w:r>
    </w:p>
    <w:p>
      <w:pPr>
        <w:pStyle w:val="BodyText"/>
      </w:pPr>
      <w:r>
        <w:t xml:space="preserve">Dans le secteur quark, les quarks sont confinés. On n’observe pas des oscillations libres de quarks analogues aux oscillations neutrino. L’orientation CKM se manifeste dans les amplitudes de désintégration, les transitions faibles et les phénomènes de mélange de mésons.</w:t>
      </w:r>
    </w:p>
    <w:p>
      <w:pPr>
        <w:pStyle w:val="BodyText"/>
      </w:pPr>
      <w:r>
        <w:t xml:space="preserve">La distinction devient donc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distinction corrige la typologie :</w:t>
      </w:r>
      <w:r>
        <w:t xml:space="preserve"> </w:t>
      </w:r>
      <w:r>
        <w:t xml:space="preserve">“oscillatoire”</w:t>
      </w:r>
      <w:r>
        <w:t xml:space="preserve"> </w:t>
      </w:r>
      <w:r>
        <w:t xml:space="preserve">ne doit plus être une famille supérieure. C’est un sous-type de manifestation.</w:t>
      </w:r>
    </w:p>
    <w:bookmarkEnd w:id="24"/>
    <w:bookmarkStart w:id="25" w:name="Xa2eeb4fdf798a08afddd3e04542f0d827b20a45"/>
    <w:p>
      <w:pPr>
        <w:pStyle w:val="Heading2"/>
      </w:pPr>
      <w:r>
        <w:t xml:space="preserve">5. Wolfenstein comme lecture hiérarchique de CKM</w:t>
      </w:r>
    </w:p>
    <w:p>
      <w:pPr>
        <w:pStyle w:val="FirstParagraph"/>
      </w:pPr>
      <w:r>
        <w:t xml:space="preserve">La paramétrisation de Wolfenstein ne crée pas une nouvelle structure physique indépendante. Elle rend lisible la hiérarchie interne de CKM.</w:t>
      </w:r>
    </w:p>
    <w:p>
      <w:pPr>
        <w:pStyle w:val="BodyText"/>
      </w:pPr>
      <w:r>
        <w:t xml:space="preserve">Elle utilise quatre paramètres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Ces paramètres réexpriment les trois angles CKM et la phase CP sous une forme hiérarchisée.</w:t>
      </w:r>
    </w:p>
    <w:p>
      <w:pPr>
        <w:pStyle w:val="BodyText"/>
      </w:pPr>
      <w:r>
        <w:t xml:space="preserve">La structure dominante est :</w:t>
      </w:r>
    </w:p>
    <w:p>
      <w:pPr>
        <w:pStyle w:val="BodyText"/>
      </w:pPr>
      <w:r>
        <w:t xml:space="preserve">[</w:t>
      </w:r>
      <w:r>
        <w:t xml:space="preserve"> </w:t>
      </w:r>
      <w:r>
        <w:t xml:space="preserve">s_{12}=</w:t>
      </w:r>
      <w:r>
        <w:t xml:space="preserve"> </w:t>
      </w:r>
      <w:r>
        <w:t xml:space="preserve">]</w:t>
      </w:r>
    </w:p>
    <w:p>
      <w:pPr>
        <w:pStyle w:val="BodyText"/>
      </w:pPr>
      <w:r>
        <w:t xml:space="preserve">[</w:t>
      </w:r>
      <w:r>
        <w:t xml:space="preserve"> </w:t>
      </w:r>
      <w:r>
        <w:t xml:space="preserve">s_{23}=A</w:t>
      </w:r>
      <w:r>
        <w:t xml:space="preserve">^2</w:t>
      </w:r>
      <w:r>
        <w:t xml:space="preserve"> </w:t>
      </w:r>
      <w:r>
        <w:t xml:space="preserve">]</w:t>
      </w:r>
    </w:p>
    <w:p>
      <w:pPr>
        <w:pStyle w:val="BodyText"/>
      </w:pPr>
      <w:r>
        <w:t xml:space="preserve">[</w:t>
      </w:r>
      <w:r>
        <w:t xml:space="preserve"> </w:t>
      </w:r>
      <w:r>
        <w:t xml:space="preserve">s_{13}e</w:t>
      </w:r>
      <w:r>
        <w:rPr>
          <w:vertAlign w:val="superscript"/>
        </w:rPr>
        <w:t xml:space="preserve">{i</w:t>
      </w:r>
      <w:r>
        <w:rPr>
          <w:vertAlign w:val="superscript"/>
        </w:rPr>
        <w:t xml:space="preserve">}=A</w:t>
      </w:r>
      <w:r>
        <w:t xml:space="preserve">3(</w:t>
      </w:r>
      <w:r>
        <w:t xml:space="preserve">+i</w:t>
      </w:r>
      <w:r>
        <w:t xml:space="preserve">)</w:t>
      </w:r>
      <w:r>
        <w:t xml:space="preserve"> </w:t>
      </w:r>
      <w:r>
        <w:t xml:space="preserve">]</w:t>
      </w:r>
    </w:p>
    <w:p>
      <w:pPr>
        <w:pStyle w:val="BodyText"/>
      </w:pPr>
      <w:r>
        <w:t xml:space="preserve">Le point important est que CKM n’est pas seulement une matrice de mélange. C’est une matrice de mélange fortement hiérarchisée.</w:t>
      </w:r>
    </w:p>
    <w:p>
      <w:pPr>
        <w:pStyle w:val="BodyText"/>
      </w:pPr>
      <w:r>
        <w:t xml:space="preserve">La fonction des paramètres de Wolfenstein est donc :</w:t>
      </w:r>
    </w:p>
    <w:p>
      <w:pPr>
        <w:pStyle w:val="BodyText"/>
      </w:pPr>
      <w:r>
        <w:t xml:space="preserve">[</w:t>
      </w:r>
      <w:r>
        <w:t xml:space="preserve"> </w:t>
      </w:r>
      <w:r>
        <w:t xml:space="preserve"> </w:t>
      </w:r>
      <w:r>
        <w:t xml:space="preserve">]</w:t>
      </w:r>
    </w:p>
    <w:p>
      <w:pPr>
        <w:pStyle w:val="BodyText"/>
      </w:pPr>
      <w:r>
        <w:t xml:space="preserve">Ils ne forment pas une famille nouvelle. Ils sont un sous-type de la famille Orientation :</w:t>
      </w:r>
    </w:p>
    <w:p>
      <w:pPr>
        <w:pStyle w:val="BodyText"/>
      </w:pPr>
      <w:r>
        <w:t xml:space="preserve">[</w:t>
      </w:r>
      <w:r>
        <w:t xml:space="preserve"> </w:t>
      </w:r>
      <w:r>
        <w:t xml:space="preserve"> </w:t>
      </w:r>
      <w:r>
        <w:t xml:space="preserve">]</w:t>
      </w:r>
    </w:p>
    <w:bookmarkEnd w:id="25"/>
    <w:bookmarkStart w:id="26" w:name="violation-cp-dans-le-secteur-quark"/>
    <w:p>
      <w:pPr>
        <w:pStyle w:val="Heading2"/>
      </w:pPr>
      <w:r>
        <w:t xml:space="preserve">6. Violation CP dans le secteur quark</w:t>
      </w:r>
    </w:p>
    <w:p>
      <w:pPr>
        <w:pStyle w:val="FirstParagraph"/>
      </w:pPr>
      <w:r>
        <w:t xml:space="preserve">CKM contient une phase complexe physique. Cette phase rend possible la violation CP dans les processus faibles impliquant les quarks.</w:t>
      </w:r>
    </w:p>
    <w:p>
      <w:pPr>
        <w:pStyle w:val="BodyText"/>
      </w:pPr>
      <w:r>
        <w:t xml:space="preserve">La violation CP peut être exprimée par l’invariant de Jarlskog :</w:t>
      </w:r>
    </w:p>
    <w:p>
      <w:pPr>
        <w:pStyle w:val="BodyText"/>
      </w:pPr>
      <w:r>
        <w:t xml:space="preserve">[</w:t>
      </w:r>
      <w:r>
        <w:t xml:space="preserve"> </w:t>
      </w:r>
      <w:r>
        <w:t xml:space="preserve">J</w:t>
      </w:r>
      <w:r>
        <w:t xml:space="preserve"> </w:t>
      </w:r>
      <w:r>
        <w:t xml:space="preserve">]</w:t>
      </w:r>
    </w:p>
    <w:p>
      <w:pPr>
        <w:pStyle w:val="BodyText"/>
      </w:pPr>
      <w:r>
        <w:t xml:space="preserve">et par la géométrie du triangle d’unitarité, dont le sommet est donné par :</w:t>
      </w:r>
    </w:p>
    <w:p>
      <w:pPr>
        <w:pStyle w:val="BodyText"/>
      </w:pPr>
      <w:r>
        <w:t xml:space="preserve">[</w:t>
      </w:r>
      <w:r>
        <w:t xml:space="preserve"> </w:t>
      </w:r>
      <w:r>
        <w:t xml:space="preserve">(</w:t>
      </w:r>
      <w:r>
        <w:t xml:space="preserve">{</w:t>
      </w:r>
      <w:r>
        <w:t xml:space="preserve">},</w:t>
      </w:r>
      <w:r>
        <w:t xml:space="preserve">{</w:t>
      </w:r>
      <w:r>
        <w:t xml:space="preserve">})</w:t>
      </w:r>
      <w:r>
        <w:t xml:space="preserve"> </w:t>
      </w:r>
      <w:r>
        <w:t xml:space="preserve">]</w:t>
      </w:r>
    </w:p>
    <w:p>
      <w:pPr>
        <w:pStyle w:val="BodyText"/>
      </w:pPr>
      <w:r>
        <w:t xml:space="preserve">Dans cette lecture, (</w:t>
      </w:r>
      <w:r>
        <w:t xml:space="preserve">{</w:t>
      </w:r>
      <w:r>
        <w:t xml:space="preserve">}</w:t>
      </w:r>
      <w:r>
        <w:t xml:space="preserve">) indique une aire non nulle du triangle d’unitarité, donc une violation CP physique.</w:t>
      </w:r>
    </w:p>
    <w:p>
      <w:pPr>
        <w:pStyle w:val="BodyText"/>
      </w:pPr>
      <w:r>
        <w:t xml:space="preserve">Taxonomiquement, cela confirme que la phase CP appartient elle aussi à la famille Orientation. Elle n’est pas un couplage, ni une échelle, ni une constante de fond. Elle est une composante complexe de l’orientation entre bases de saveur.</w:t>
      </w:r>
    </w:p>
    <w:p>
      <w:pPr>
        <w:pStyle w:val="BodyText"/>
      </w:pPr>
      <w:r>
        <w:t xml:space="preserve">La bonne catégorie locale est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p>
      <w:pPr>
        <w:pStyle w:val="BodyText"/>
      </w:pPr>
      <w:r>
        <w:t xml:space="preserve">Cette correction est importante : la violation CP existe aussi dans CKM, sans régime oscillatoire de quarks libres.</w:t>
      </w:r>
    </w:p>
    <w:bookmarkEnd w:id="26"/>
    <w:bookmarkStart w:id="27" w:name="régime-de-définition-physique"/>
    <w:p>
      <w:pPr>
        <w:pStyle w:val="Heading2"/>
      </w:pPr>
      <w:r>
        <w:t xml:space="preserve">7. Régime de définition physique</w:t>
      </w:r>
    </w:p>
    <w:p>
      <w:pPr>
        <w:pStyle w:val="FirstParagraph"/>
      </w:pPr>
      <w:r>
        <w:t xml:space="preserve">Le régime de définition physique de CKM est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CKM n’est donc pas une constante isolée. Elle appartient à une architecture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point relie le cycle CKM au foyer critique du secteur Higgs : les masses, les Yukawa et les mélanges ne sont pas des catégories indépendantes juxtaposées. Ils forment une architecture de saveur.</w:t>
      </w:r>
    </w:p>
    <w:bookmarkEnd w:id="27"/>
    <w:bookmarkStart w:id="28" w:name="régime-daccès-épistémique"/>
    <w:p>
      <w:pPr>
        <w:pStyle w:val="Heading2"/>
      </w:pPr>
      <w:r>
        <w:t xml:space="preserve">8. Régime d’accès épistémique</w:t>
      </w:r>
    </w:p>
    <w:p>
      <w:pPr>
        <w:pStyle w:val="FirstParagraph"/>
      </w:pPr>
      <w:r>
        <w:t xml:space="preserve">CKM n’est pas mesurée comme une matrice isolée.</w:t>
      </w:r>
    </w:p>
    <w:p>
      <w:pPr>
        <w:pStyle w:val="BodyText"/>
      </w:pPr>
      <w:r>
        <w:t xml:space="preserve">Ses éléments et ses paramètres sont reconstruits à partir de nombreux processus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B</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régime d’accès est donc :</w:t>
      </w:r>
    </w:p>
    <w:p>
      <w:pPr>
        <w:pStyle w:val="BodyText"/>
      </w:pPr>
      <w:r>
        <w:t xml:space="preserve">[</w:t>
      </w:r>
      <w:r>
        <w:t xml:space="preserve"> </w:t>
      </w:r>
      <w:r>
        <w:t xml:space="preserve"> </w:t>
      </w:r>
      <w:r>
        <w:t xml:space="preserve">]</w:t>
      </w:r>
    </w:p>
    <w:p>
      <w:pPr>
        <w:pStyle w:val="BodyText"/>
      </w:pPr>
      <w:r>
        <w:t xml:space="preserve">Cela confirme un principe de la méthode v0.3 :</w:t>
      </w:r>
    </w:p>
    <w:p>
      <w:pPr>
        <w:pStyle w:val="BodyText"/>
      </w:pPr>
      <w:r>
        <w:rPr>
          <w:b/>
          <w:bCs/>
        </w:rPr>
        <w:t xml:space="preserve">une constante peut être robuste sans être directement accessible comme objet isolé.</w:t>
      </w:r>
    </w:p>
    <w:p>
      <w:pPr>
        <w:pStyle w:val="BodyText"/>
      </w:pPr>
      <w:r>
        <w:t xml:space="preserve">CKM est stabilisée par un réseau d’observables, de contraintes d’unitarité, de calculs hadroniques et d’ajustements globaux.</w:t>
      </w:r>
    </w:p>
    <w:bookmarkEnd w:id="28"/>
    <w:bookmarkStart w:id="29" w:name="stabilisation-empirique"/>
    <w:p>
      <w:pPr>
        <w:pStyle w:val="Heading2"/>
      </w:pPr>
      <w:r>
        <w:t xml:space="preserve">9. Stabilisation empirique</w:t>
      </w:r>
    </w:p>
    <w:p>
      <w:pPr>
        <w:pStyle w:val="FirstParagraph"/>
      </w:pPr>
      <w:r>
        <w:t xml:space="preserve">CKM est globalement bien stabilisée dans le cadre du Modèle standard à trois générations.</w:t>
      </w:r>
    </w:p>
    <w:p>
      <w:pPr>
        <w:pStyle w:val="BodyText"/>
      </w:pPr>
      <w:r>
        <w:t xml:space="preserve">Mais cette stabilisation n’est pas uniforme.</w:t>
      </w:r>
    </w:p>
    <w:p>
      <w:pPr>
        <w:pStyle w:val="BodyText"/>
      </w:pPr>
      <w:r>
        <w:t xml:space="preserve">Certains éléments sont extrêmement bien contraints, notamment ceux proches de la diagonale. D’autres sont beaucoup plus petits et plus difficiles à extraire. Certains tests d’unitarité montrent des tensions locales, par exemple dans la première ligne.</w:t>
      </w:r>
    </w:p>
    <w:p>
      <w:pPr>
        <w:pStyle w:val="BodyText"/>
      </w:pPr>
      <w:r>
        <w:t xml:space="preserve">La formulation correcte est donc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Cela enrichit l’axe de stabilisation empirique. Une structure peut être globalement robuste tout en contenant des tensions locales.</w:t>
      </w:r>
    </w:p>
    <w:bookmarkEnd w:id="29"/>
    <w:bookmarkStart w:id="30" w:name="dépendance-déchelle"/>
    <w:p>
      <w:pPr>
        <w:pStyle w:val="Heading2"/>
      </w:pPr>
      <w:r>
        <w:t xml:space="preserve">10. Dépendance d’échelle</w:t>
      </w:r>
    </w:p>
    <w:p>
      <w:pPr>
        <w:pStyle w:val="FirstParagraph"/>
      </w:pPr>
      <w:r>
        <w:t xml:space="preserve">CKM est généralement traitée comme constante dans le régime basse énergie pertinent pour la plupart des processus de saveur.</w:t>
      </w:r>
    </w:p>
    <w:p>
      <w:pPr>
        <w:pStyle w:val="BodyText"/>
      </w:pPr>
      <w:r>
        <w:t xml:space="preserve">Mais, dans le cadre quantique des champs, la matrice CKM possède une dépendance de renormalisation au-dessus de l’échelle faible. En dessous de l’échelle (m_W), les éléments CKM peuvent être traités comme constants, la dépendance d’échelle étant portée par d’autres objets effectifs.</w:t>
      </w:r>
    </w:p>
    <w:p>
      <w:pPr>
        <w:pStyle w:val="BodyText"/>
      </w:pPr>
      <w:r>
        <w:t xml:space="preserve">Cela donne une formulation méthodologique prudente :</w:t>
      </w:r>
    </w:p>
    <w:p>
      <w:pPr>
        <w:pStyle w:val="BodyText"/>
      </w:pPr>
      <w:r>
        <w:t xml:space="preserve">[</w:t>
      </w:r>
      <w:r>
        <w:t xml:space="preserve"> </w:t>
      </w:r>
      <w:r>
        <w:t xml:space="preserve"> </w:t>
      </w:r>
      <w:r>
        <w:t xml:space="preserve">]</w:t>
      </w:r>
    </w:p>
    <w:p>
      <w:pPr>
        <w:pStyle w:val="BodyText"/>
      </w:pPr>
      <w:r>
        <w:t xml:space="preserve">La constance est donc bien une constance de régime.</w:t>
      </w:r>
    </w:p>
    <w:bookmarkEnd w:id="30"/>
    <w:bookmarkStart w:id="31" w:name="lecture-par-la-matrice-v0.3"/>
    <w:p>
      <w:pPr>
        <w:pStyle w:val="Heading2"/>
      </w:pPr>
      <w:r>
        <w:t xml:space="preserve">11. Lecture par la matrice v0.3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le cycle CKM</w:t>
            </w:r>
          </w:p>
        </w:tc>
      </w:tr>
      <w:tr>
        <w:tc>
          <w:tcPr/>
          <w:p>
            <w:pPr>
              <w:pStyle w:val="Compact"/>
            </w:pPr>
            <w:r>
              <w:t xml:space="preserve">Grandeur</w:t>
            </w:r>
          </w:p>
        </w:tc>
        <w:tc>
          <w:tcPr/>
          <w:p>
            <w:pPr>
              <w:pStyle w:val="Compact"/>
            </w:pPr>
            <w:r>
              <w:t xml:space="preserve">Matrice CKM et paramètres de Wolfenstein</w:t>
            </w:r>
          </w:p>
        </w:tc>
      </w:tr>
      <w:tr>
        <w:tc>
          <w:tcPr/>
          <w:p>
            <w:pPr>
              <w:pStyle w:val="Compact"/>
            </w:pPr>
            <w:r>
              <w:t xml:space="preserve">Type logique</w:t>
            </w:r>
          </w:p>
        </w:tc>
        <w:tc>
          <w:tcPr/>
          <w:p>
            <w:pPr>
              <w:pStyle w:val="Compact"/>
            </w:pPr>
            <w:r>
              <w:t xml:space="preserve">Matrice unitaire complexe ; paramètres sans dimension</w:t>
            </w:r>
          </w:p>
        </w:tc>
      </w:tr>
      <w:tr>
        <w:tc>
          <w:tcPr/>
          <w:p>
            <w:pPr>
              <w:pStyle w:val="Compact"/>
            </w:pPr>
            <w:r>
              <w:t xml:space="preserve">Dimension</w:t>
            </w:r>
          </w:p>
        </w:tc>
        <w:tc>
          <w:tcPr/>
          <w:p>
            <w:pPr>
              <w:pStyle w:val="Compact"/>
            </w:pPr>
            <w:r>
              <w:t xml:space="preserve">Sans dimension</w:t>
            </w:r>
          </w:p>
        </w:tc>
      </w:tr>
      <w:tr>
        <w:tc>
          <w:tcPr/>
          <w:p>
            <w:pPr>
              <w:pStyle w:val="Compact"/>
            </w:pPr>
            <w:r>
              <w:t xml:space="preserve">Régime de définition physique</w:t>
            </w:r>
          </w:p>
        </w:tc>
        <w:tc>
          <w:tcPr/>
          <w:p>
            <w:pPr>
              <w:pStyle w:val="Compact"/>
            </w:pPr>
            <w:r>
              <w:t xml:space="preserve">Régime électrofaible brisé ; secteur quark ; courants faibles chargés</w:t>
            </w:r>
          </w:p>
        </w:tc>
      </w:tr>
      <w:tr>
        <w:tc>
          <w:tcPr/>
          <w:p>
            <w:pPr>
              <w:pStyle w:val="Compact"/>
            </w:pPr>
            <w:r>
              <w:t xml:space="preserve">Régime d’accès épistémique</w:t>
            </w:r>
          </w:p>
        </w:tc>
        <w:tc>
          <w:tcPr/>
          <w:p>
            <w:pPr>
              <w:pStyle w:val="Compact"/>
            </w:pPr>
            <w:r>
              <w:t xml:space="preserve">Reconstruction multi-processus ; ajustements globaux ; contraintes d’unitarité</w:t>
            </w:r>
          </w:p>
        </w:tc>
      </w:tr>
      <w:tr>
        <w:tc>
          <w:tcPr/>
          <w:p>
            <w:pPr>
              <w:pStyle w:val="Compact"/>
            </w:pPr>
            <w:r>
              <w:t xml:space="preserve">Fonction</w:t>
            </w:r>
          </w:p>
        </w:tc>
        <w:tc>
          <w:tcPr/>
          <w:p>
            <w:pPr>
              <w:pStyle w:val="Compact"/>
            </w:pPr>
            <w:r>
              <w:t xml:space="preserve">Orienter et hiérarchiser les transitions faibles entre saveurs</w:t>
            </w:r>
          </w:p>
        </w:tc>
      </w:tr>
      <w:tr>
        <w:tc>
          <w:tcPr/>
          <w:p>
            <w:pPr>
              <w:pStyle w:val="Compact"/>
            </w:pPr>
            <w:r>
              <w:t xml:space="preserve">Dépendance d’échelle</w:t>
            </w:r>
          </w:p>
        </w:tc>
        <w:tc>
          <w:tcPr/>
          <w:p>
            <w:pPr>
              <w:pStyle w:val="Compact"/>
            </w:pPr>
            <w:r>
              <w:t xml:space="preserve">Constante en régime effectif basse énergie ; dépendance RG au-dessus de l’échelle faible</w:t>
            </w:r>
          </w:p>
        </w:tc>
      </w:tr>
      <w:tr>
        <w:tc>
          <w:tcPr/>
          <w:p>
            <w:pPr>
              <w:pStyle w:val="Compact"/>
            </w:pPr>
            <w:r>
              <w:t xml:space="preserve">Stabilisation empirique</w:t>
            </w:r>
          </w:p>
        </w:tc>
        <w:tc>
          <w:tcPr/>
          <w:p>
            <w:pPr>
              <w:pStyle w:val="Compact"/>
            </w:pPr>
            <w:r>
              <w:t xml:space="preserve">Forte globalement ; tensions locales surveillées</w:t>
            </w:r>
          </w:p>
        </w:tc>
      </w:tr>
      <w:tr>
        <w:tc>
          <w:tcPr/>
          <w:p>
            <w:pPr>
              <w:pStyle w:val="Compact"/>
            </w:pPr>
            <w:r>
              <w:t xml:space="preserve">Stabilisation conventionnelle</w:t>
            </w:r>
          </w:p>
        </w:tc>
        <w:tc>
          <w:tcPr/>
          <w:p>
            <w:pPr>
              <w:pStyle w:val="Compact"/>
            </w:pPr>
            <w:r>
              <w:t xml:space="preserve">Non concernée</w:t>
            </w:r>
          </w:p>
        </w:tc>
      </w:tr>
      <w:tr>
        <w:tc>
          <w:tcPr/>
          <w:p>
            <w:pPr>
              <w:pStyle w:val="Compact"/>
            </w:pPr>
            <w:r>
              <w:t xml:space="preserve">Famille fonctionnelle</w:t>
            </w:r>
          </w:p>
        </w:tc>
        <w:tc>
          <w:tcPr/>
          <w:p>
            <w:pPr>
              <w:pStyle w:val="Compact"/>
            </w:pPr>
            <w:r>
              <w:t xml:space="preserve">Orientation</w:t>
            </w:r>
          </w:p>
        </w:tc>
      </w:tr>
      <w:tr>
        <w:tc>
          <w:tcPr/>
          <w:p>
            <w:pPr>
              <w:pStyle w:val="Compact"/>
            </w:pPr>
            <w:r>
              <w:t xml:space="preserve">Sous-types</w:t>
            </w:r>
          </w:p>
        </w:tc>
        <w:tc>
          <w:tcPr/>
          <w:p>
            <w:pPr>
              <w:pStyle w:val="Compact"/>
            </w:pPr>
            <w:r>
              <w:t xml:space="preserve">Orientation de saveur transitionnelle ; orientation hiérarchique ; orientation complexe CP</w:t>
            </w:r>
          </w:p>
        </w:tc>
      </w:tr>
    </w:tbl>
    <w:bookmarkEnd w:id="31"/>
    <w:bookmarkStart w:id="32" w:name="compression-obtenue"/>
    <w:p>
      <w:pPr>
        <w:pStyle w:val="Heading2"/>
      </w:pPr>
      <w:r>
        <w:t xml:space="preserve">12. Compression obtenue</w:t>
      </w:r>
    </w:p>
    <w:p>
      <w:pPr>
        <w:pStyle w:val="FirstParagraph"/>
      </w:pPr>
      <w:r>
        <w:t xml:space="preserve">Le cycle CKM réussit le test de compression.</w:t>
      </w:r>
    </w:p>
    <w:p>
      <w:pPr>
        <w:pStyle w:val="BodyText"/>
      </w:pPr>
      <w:r>
        <w:t xml:space="preserve">Il ne crée pas :</w:t>
      </w:r>
    </w:p>
    <w:p>
      <w:pPr>
        <w:pStyle w:val="BodyText"/>
      </w:pPr>
      <w:r>
        <w:t xml:space="preserve">[</w:t>
      </w:r>
      <w:r>
        <w:t xml:space="preserve"> </w:t>
      </w:r>
      <w:r>
        <w:t xml:space="preserve"> </w:t>
      </w:r>
      <w:r>
        <w:t xml:space="preserve">]</w:t>
      </w:r>
    </w:p>
    <w:p>
      <w:pPr>
        <w:pStyle w:val="BodyText"/>
      </w:pPr>
      <w:r>
        <w:t xml:space="preserve">ni :</w:t>
      </w:r>
    </w:p>
    <w:p>
      <w:pPr>
        <w:pStyle w:val="BodyText"/>
      </w:pPr>
      <w:r>
        <w:t xml:space="preserve">[</w:t>
      </w:r>
      <w:r>
        <w:t xml:space="preserve"> </w:t>
      </w:r>
      <w:r>
        <w:t xml:space="preserve"> </w:t>
      </w:r>
      <w:r>
        <w:t xml:space="preserve">]</w:t>
      </w:r>
    </w:p>
    <w:p>
      <w:pPr>
        <w:pStyle w:val="BodyText"/>
      </w:pPr>
      <w:r>
        <w:t xml:space="preserve">ni :</w:t>
      </w:r>
    </w:p>
    <w:p>
      <w:pPr>
        <w:pStyle w:val="BodyText"/>
      </w:pPr>
      <w:r>
        <w:t xml:space="preserve">[</w:t>
      </w:r>
      <w:r>
        <w:t xml:space="preserve"> </w:t>
      </w:r>
      <w:r>
        <w:t xml:space="preserve"> </w:t>
      </w:r>
      <w:r>
        <w:t xml:space="preserve">]</w:t>
      </w:r>
    </w:p>
    <w:p>
      <w:pPr>
        <w:pStyle w:val="BodyText"/>
      </w:pPr>
      <w:r>
        <w:t xml:space="preserve">Il réutilise une famille existante :</w:t>
      </w:r>
    </w:p>
    <w:p>
      <w:pPr>
        <w:pStyle w:val="BodyText"/>
      </w:pPr>
      <w:r>
        <w:t xml:space="preserve">[</w:t>
      </w:r>
      <w:r>
        <w:t xml:space="preserve"> </w:t>
      </w:r>
      <w:r>
        <w:t xml:space="preserve"> </w:t>
      </w:r>
      <w:r>
        <w:t xml:space="preserve">]</w:t>
      </w:r>
    </w:p>
    <w:p>
      <w:pPr>
        <w:pStyle w:val="BodyText"/>
      </w:pPr>
      <w:r>
        <w:t xml:space="preserve">et y introduit des sous-types locaux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taxonomie gagne donc en généralité.</w:t>
      </w:r>
    </w:p>
    <w:bookmarkEnd w:id="32"/>
    <w:bookmarkStart w:id="33" w:name="effet-sur-les-catégories-neutrino"/>
    <w:p>
      <w:pPr>
        <w:pStyle w:val="Heading2"/>
      </w:pPr>
      <w:r>
        <w:t xml:space="preserve">13. Effet sur les catégories neutrino</w:t>
      </w:r>
    </w:p>
    <w:p>
      <w:pPr>
        <w:pStyle w:val="FirstParagraph"/>
      </w:pPr>
      <w:r>
        <w:t xml:space="preserve">Le cycle CKM oblige à réviser la formulation des catégories neutrino.</w:t>
      </w:r>
    </w:p>
    <w:p>
      <w:pPr>
        <w:pStyle w:val="BodyText"/>
      </w:pPr>
      <w:r>
        <w:t xml:space="preserve">Les anciennes catégories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doivent être relues ainsi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Ancienne catégorie</w:t>
            </w:r>
          </w:p>
        </w:tc>
        <w:tc>
          <w:tcPr/>
          <w:p>
            <w:pPr>
              <w:pStyle w:val="Compact"/>
            </w:pPr>
            <w:r>
              <w:t xml:space="preserve">Nouveau statut</w:t>
            </w:r>
          </w:p>
        </w:tc>
      </w:tr>
      <w:tr>
        <w:tc>
          <w:tcPr/>
          <w:p>
            <w:pPr>
              <w:pStyle w:val="Compact"/>
            </w:pPr>
            <w:r>
              <w:t xml:space="preserve">Projection oscillatoire</w:t>
            </w:r>
          </w:p>
        </w:tc>
        <w:tc>
          <w:tcPr/>
          <w:p>
            <w:pPr>
              <w:pStyle w:val="Compact"/>
            </w:pPr>
            <w:r>
              <w:t xml:space="preserve">Sous-type d’orientation de saveur à manifestation oscillatoire</w:t>
            </w:r>
          </w:p>
        </w:tc>
      </w:tr>
      <w:tr>
        <w:tc>
          <w:tcPr/>
          <w:p>
            <w:pPr>
              <w:pStyle w:val="Compact"/>
            </w:pPr>
            <w:r>
              <w:t xml:space="preserve">Phase d’asymétrie oscillatoire</w:t>
            </w:r>
          </w:p>
        </w:tc>
        <w:tc>
          <w:tcPr/>
          <w:p>
            <w:pPr>
              <w:pStyle w:val="Compact"/>
            </w:pPr>
            <w:r>
              <w:t xml:space="preserve">Sous-type d’orientation complexe CP dans le régime oscillatoire</w:t>
            </w:r>
          </w:p>
        </w:tc>
      </w:tr>
      <w:tr>
        <w:tc>
          <w:tcPr/>
          <w:p>
            <w:pPr>
              <w:pStyle w:val="Compact"/>
            </w:pPr>
            <w:r>
              <w:t xml:space="preserve">Phase oscillatoire (</w:t>
            </w:r>
            <w:r>
              <w:t xml:space="preserve">m^2)</w:t>
            </w:r>
          </w:p>
        </w:tc>
        <w:tc>
          <w:tcPr/>
          <w:p>
            <w:pPr>
              <w:pStyle w:val="Compact"/>
            </w:pPr>
            <w:r>
              <w:t xml:space="preserve">Manifestation phénoménologique d’une différence spectrale</w:t>
            </w:r>
          </w:p>
        </w:tc>
      </w:tr>
    </w:tbl>
    <w:p>
      <w:pPr>
        <w:pStyle w:val="BodyText"/>
      </w:pPr>
      <w:r>
        <w:t xml:space="preserve">Cette révision est un gain. Elle empêche le secteur neutrino de définir à lui seul la taxonomie générale.</w:t>
      </w:r>
    </w:p>
    <w:bookmarkEnd w:id="33"/>
    <w:bookmarkStart w:id="34" w:name="effet-sur-le-secteur-higgsyukawa"/>
    <w:p>
      <w:pPr>
        <w:pStyle w:val="Heading2"/>
      </w:pPr>
      <w:r>
        <w:t xml:space="preserve">14. Effet sur le secteur Higgs/Yukawa</w:t>
      </w:r>
    </w:p>
    <w:p>
      <w:pPr>
        <w:pStyle w:val="FirstParagraph"/>
      </w:pPr>
      <w:r>
        <w:t xml:space="preserve">CKM rappelle que les mélanges de saveur ne sont pas séparables des matrices de Yukawa.</w:t>
      </w:r>
    </w:p>
    <w:p>
      <w:pPr>
        <w:pStyle w:val="BodyText"/>
      </w:pPr>
      <w:r>
        <w:t xml:space="preserve">Dans le Modèle standard, CKM résulte du désalignement entre les matrices de Yukawa du secteur up et du secteur down après diagonalisation. Cela signifie que le secteur Higgs/Yukawa doit être relu non comme une collection de constantes indépendantes, mais comme une architecture :</w:t>
      </w:r>
    </w:p>
    <w:p>
      <w:pPr>
        <w:pStyle w:val="BodyText"/>
      </w:pPr>
      <w:r>
        <w:t xml:space="preserve">[</w:t>
      </w:r>
      <w:r>
        <w:t xml:space="preserve"> </w:t>
      </w:r>
      <w:r>
        <w:t xml:space="preserve">v</w:t>
      </w:r>
      <w:r>
        <w:t xml:space="preserve"> </w:t>
      </w:r>
      <w:r>
        <w:t xml:space="preserve">]</w:t>
      </w:r>
    </w:p>
    <w:p>
      <w:pPr>
        <w:pStyle w:val="BodyText"/>
      </w:pPr>
      <w:r>
        <w:t xml:space="preserve">fixe l’échelle électrofaible,</w:t>
      </w:r>
    </w:p>
    <w:p>
      <w:pPr>
        <w:pStyle w:val="BodyText"/>
      </w:pPr>
      <w:r>
        <w:t xml:space="preserve">[</w:t>
      </w:r>
      <w:r>
        <w:t xml:space="preserve"> </w:t>
      </w:r>
      <w:r>
        <w:t xml:space="preserve">y_f</w:t>
      </w:r>
      <w:r>
        <w:t xml:space="preserve"> </w:t>
      </w:r>
      <w:r>
        <w:t xml:space="preserve">]</w:t>
      </w:r>
    </w:p>
    <w:p>
      <w:pPr>
        <w:pStyle w:val="BodyText"/>
      </w:pPr>
      <w:r>
        <w:t xml:space="preserve">distribue les masses,</w:t>
      </w:r>
    </w:p>
    <w:p>
      <w:pPr>
        <w:pStyle w:val="BodyText"/>
      </w:pPr>
      <w:r>
        <w:t xml:space="preserve">les matrices de Yukawa organisent la saveur,</w:t>
      </w:r>
    </w:p>
    <w:p>
      <w:pPr>
        <w:pStyle w:val="BodyText"/>
      </w:pPr>
      <w:r>
        <w:t xml:space="preserve">et CKM exprime le désalignement observable dans les courants faibles chargés.</w:t>
      </w:r>
    </w:p>
    <w:p>
      <w:pPr>
        <w:pStyle w:val="BodyText"/>
      </w:pPr>
      <w:r>
        <w:t xml:space="preserve">La compression du secteur Higgs devient donc plus nécessaire encore.</w:t>
      </w:r>
    </w:p>
    <w:bookmarkEnd w:id="34"/>
    <w:bookmarkStart w:id="35" w:name="définition-locale-proposée"/>
    <w:p>
      <w:pPr>
        <w:pStyle w:val="Heading2"/>
      </w:pPr>
      <w:r>
        <w:t xml:space="preserve">15. Définition locale proposée</w:t>
      </w:r>
    </w:p>
    <w:p>
      <w:pPr>
        <w:pStyle w:val="FirstParagraph"/>
      </w:pPr>
      <w:r>
        <w:t xml:space="preserve">Après le cycle CKM, on peut définir la famille Orientation ainsi :</w:t>
      </w:r>
    </w:p>
    <w:p>
      <w:pPr>
        <w:pStyle w:val="BodyText"/>
      </w:pPr>
      <w:r>
        <w:rPr>
          <w:b/>
          <w:bCs/>
        </w:rPr>
        <w:t xml:space="preserve">Une constante d’orientation est une grandeur sans dimension, souvent angulaire, matricielle ou phasique, qui fixe le désalignement entre bases physiques, champs, états ou secteurs d’interaction, et dont les effets se manifestent par des mélanges, projections, transitions ou asymétries.</w:t>
      </w:r>
    </w:p>
    <w:p>
      <w:pPr>
        <w:pStyle w:val="BodyText"/>
      </w:pPr>
      <w:r>
        <w:t xml:space="preserve">Cette définition couvre :</w:t>
      </w:r>
    </w:p>
    <w:p>
      <w:pPr>
        <w:pStyle w:val="BodyText"/>
      </w:pPr>
      <w:r>
        <w:t xml:space="preserve">[</w:t>
      </w:r>
      <w:r>
        <w:t xml:space="preserve"> </w:t>
      </w:r>
      <w:r>
        <w:t xml:space="preserve">_W</w:t>
      </w:r>
      <w:r>
        <w:t xml:space="preserve"> </w:t>
      </w:r>
      <w:r>
        <w:t xml:space="preserve">]</w:t>
      </w:r>
    </w:p>
    <w:p>
      <w:pPr>
        <w:pStyle w:val="BodyText"/>
      </w:pPr>
      <w:r>
        <w:t xml:space="preserve">[</w:t>
      </w:r>
      <w:r>
        <w:t xml:space="preserve"> </w:t>
      </w:r>
      <w:r>
        <w:t xml:space="preserve">PMNS</w:t>
      </w:r>
      <w:r>
        <w:t xml:space="preserve"> </w:t>
      </w:r>
      <w:r>
        <w:t xml:space="preserve">]</w:t>
      </w:r>
    </w:p>
    <w:p>
      <w:pPr>
        <w:pStyle w:val="BodyText"/>
      </w:pPr>
      <w:r>
        <w:t xml:space="preserve">[</w:t>
      </w:r>
      <w:r>
        <w:t xml:space="preserve"> </w:t>
      </w:r>
      <w:r>
        <w:t xml:space="preserve">CKM</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,A,</w:t>
      </w:r>
      <w:r>
        <w:t xml:space="preserve">{</w:t>
      </w:r>
      <w:r>
        <w:t xml:space="preserve">},</w:t>
      </w:r>
      <w:r>
        <w:t xml:space="preserve">{</w:t>
      </w:r>
      <w:r>
        <w:t xml:space="preserve">}</w:t>
      </w:r>
      <w:r>
        <w:t xml:space="preserve"> </w:t>
      </w:r>
      <w:r>
        <w:t xml:space="preserve">]</w:t>
      </w:r>
    </w:p>
    <w:p>
      <w:pPr>
        <w:pStyle w:val="BodyText"/>
      </w:pPr>
      <w:r>
        <w:t xml:space="preserve">Elle est assez générale pour classer, mais assez précise pour ne pas absorber toutes les relations.</w:t>
      </w:r>
    </w:p>
    <w:bookmarkEnd w:id="35"/>
    <w:bookmarkStart w:id="36" w:name="formule-issue-du-cycle-ckm"/>
    <w:p>
      <w:pPr>
        <w:pStyle w:val="Heading2"/>
      </w:pPr>
      <w:r>
        <w:t xml:space="preserve">16. Formule issue du cycle CKM</w:t>
      </w:r>
    </w:p>
    <w:p>
      <w:pPr>
        <w:pStyle w:val="FirstParagraph"/>
      </w:pPr>
      <w:r>
        <w:t xml:space="preserve">La formule de travail issue du cycle est :</w:t>
      </w:r>
    </w:p>
    <w:p>
      <w:pPr>
        <w:pStyle w:val="BodyText"/>
      </w:pPr>
      <w:r>
        <w:rPr>
          <w:b/>
          <w:bCs/>
        </w:rPr>
        <w:t xml:space="preserve">L’orientation est une forme de constance : non pas stabilité d’une valeur isolée, mais stabilité d’un désalignement entre bases physiques.</w:t>
      </w:r>
    </w:p>
    <w:p>
      <w:pPr>
        <w:pStyle w:val="BodyText"/>
      </w:pPr>
      <w:r>
        <w:t xml:space="preserve">Cette formule est probablement l’apport principal du cycle CKM.</w:t>
      </w:r>
    </w:p>
    <w:p>
      <w:pPr>
        <w:pStyle w:val="BodyText"/>
      </w:pPr>
      <w:r>
        <w:t xml:space="preserve">Elle permet de comprendre pourquoi CKM et PMNS peuvent être comparés sans être confondus.</w:t>
      </w:r>
    </w:p>
    <w:bookmarkEnd w:id="36"/>
    <w:bookmarkStart w:id="37" w:name="conséquence-pour-la-carte-consolidée"/>
    <w:p>
      <w:pPr>
        <w:pStyle w:val="Heading2"/>
      </w:pPr>
      <w:r>
        <w:t xml:space="preserve">17. Conséquence pour la carte consolidée</w:t>
      </w:r>
    </w:p>
    <w:p>
      <w:pPr>
        <w:pStyle w:val="FirstParagraph"/>
      </w:pPr>
      <w:r>
        <w:t xml:space="preserve">La prochaine carte consolidée devra modifier la famille Orientation ainsi :</w:t>
      </w:r>
    </w:p>
    <w:p>
      <w:pPr>
        <w:pStyle w:val="BodyText"/>
      </w:pPr>
      <w:r>
        <w:t xml:space="preserve">[</w:t>
      </w:r>
      <w:r>
        <w:t xml:space="preserve"> </w:t>
      </w:r>
      <w:r>
        <w:t xml:space="preserve"> </w:t>
      </w:r>
      <w:r>
        <w:t xml:space="preserve">]</w:t>
      </w:r>
    </w:p>
    <w:p>
      <w:pPr>
        <w:pStyle w:val="BodyText"/>
      </w:pPr>
      <w:r>
        <w:t xml:space="preserve">devient une famille supérieure confirmée.</w:t>
      </w:r>
    </w:p>
    <w:p>
      <w:pPr>
        <w:pStyle w:val="BodyText"/>
      </w:pPr>
      <w:r>
        <w:t xml:space="preserve">Elle comprend au moins trois 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À cela s’ajoute :</w:t>
      </w:r>
    </w:p>
    <w:p>
      <w:pPr>
        <w:pStyle w:val="BodyText"/>
      </w:pPr>
      <w:r>
        <w:t xml:space="preserve">[</w:t>
      </w:r>
      <w:r>
        <w:t xml:space="preserve"> </w:t>
      </w:r>
      <w:r>
        <w:t xml:space="preserve"> </w:t>
      </w:r>
      <w:r>
        <w:t xml:space="preserve">]</w:t>
      </w:r>
    </w:p>
    <w:p>
      <w:pPr>
        <w:pStyle w:val="BodyText"/>
      </w:pPr>
      <w:r>
        <w:t xml:space="preserve">comme sous-type transversal, présent dans PMNS et CKM.</w:t>
      </w:r>
    </w:p>
    <w:p>
      <w:pPr>
        <w:pStyle w:val="BodyText"/>
      </w:pPr>
      <w:r>
        <w:t xml:space="preserve">La carte devra aussi réviser la place de (</w:t>
      </w:r>
      <w:r>
        <w:t xml:space="preserve">m^2), qui relève moins de l’orientation que d’une relation spectrale se manifestant comme phase d’oscillation.</w:t>
      </w:r>
    </w:p>
    <w:bookmarkEnd w:id="37"/>
    <w:bookmarkStart w:id="38" w:name="prochaine-étape"/>
    <w:p>
      <w:pPr>
        <w:pStyle w:val="Heading2"/>
      </w:pPr>
      <w:r>
        <w:t xml:space="preserve">18. Prochaine étape</w:t>
      </w:r>
    </w:p>
    <w:p>
      <w:pPr>
        <w:pStyle w:val="FirstParagraph"/>
      </w:pPr>
      <w:r>
        <w:t xml:space="preserve">La prochaine étape logique est :</w:t>
      </w:r>
    </w:p>
    <w:p>
      <w:pPr>
        <w:pStyle w:val="BodyText"/>
      </w:pPr>
      <w:r>
        <w:rPr>
          <w:b/>
          <w:bCs/>
        </w:rPr>
        <w:t xml:space="preserve">Carte consolidée v0.4 — intégration du cycle CKM et révision de la famille Orientation</w:t>
      </w:r>
    </w:p>
    <w:p>
      <w:pPr>
        <w:pStyle w:val="BodyText"/>
      </w:pPr>
      <w:r>
        <w:t xml:space="preserve">Cette carte devra :</w:t>
      </w:r>
    </w:p>
    <w:p>
      <w:pPr>
        <w:numPr>
          <w:ilvl w:val="0"/>
          <w:numId w:val="1001"/>
        </w:numPr>
      </w:pPr>
      <w:r>
        <w:t xml:space="preserve">intégrer CKM et Wolfenstein ;</w:t>
      </w:r>
    </w:p>
    <w:p>
      <w:pPr>
        <w:numPr>
          <w:ilvl w:val="0"/>
          <w:numId w:val="1001"/>
        </w:numPr>
      </w:pPr>
      <w:r>
        <w:t xml:space="preserve">confirmer Orientation comme famille supérieure ;</w:t>
      </w:r>
    </w:p>
    <w:p>
      <w:pPr>
        <w:numPr>
          <w:ilvl w:val="0"/>
          <w:numId w:val="1001"/>
        </w:numPr>
      </w:pPr>
      <w:r>
        <w:t xml:space="preserve">rétrograder explicitement les catégories oscillatoires neutrino ;</w:t>
      </w:r>
    </w:p>
    <w:p>
      <w:pPr>
        <w:numPr>
          <w:ilvl w:val="0"/>
          <w:numId w:val="1001"/>
        </w:numPr>
      </w:pPr>
      <w:r>
        <w:t xml:space="preserve">distinguer orientation, transition, oscillation et hiérarchie ;</w:t>
      </w:r>
    </w:p>
    <w:p>
      <w:pPr>
        <w:numPr>
          <w:ilvl w:val="0"/>
          <w:numId w:val="1001"/>
        </w:numPr>
      </w:pPr>
      <w:r>
        <w:t xml:space="preserve">relier CKM au secteur Higgs/Yukawa sans fusionner prématurément toute la taxonomie de la saveur.</w:t>
      </w:r>
    </w:p>
    <w:p>
      <w:pPr>
        <w:pStyle w:val="FirstParagraph"/>
      </w:pPr>
      <w:r>
        <w:t xml:space="preserve">Cette carte v0.4 sera un test important : elle devra montrer que le cycle CKM a vraiment compressé la typologie, au lieu d’ajouter une couche supplémentaire.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2026-07-09T06:29:26Z</dcterms:created>
  <dcterms:modified xsi:type="dcterms:W3CDTF">2026-07-09T06:29:26Z</dcterms:modified>
</cp:coreProperties>
</file>

<file path=docProps/custom.xml><?xml version="1.0" encoding="utf-8"?>
<Properties xmlns="http://schemas.openxmlformats.org/officeDocument/2006/custom-properties" xmlns:vt="http://schemas.openxmlformats.org/officeDocument/2006/docPropsVTypes"/>
</file>