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ynthèse-du-quatrième-cycle-v0.1"/>
    <w:p>
      <w:pPr>
        <w:pStyle w:val="Heading1"/>
      </w:pPr>
      <w:r>
        <w:t xml:space="preserve">Synthèse du quatrième cycle v0.1</w:t>
      </w:r>
    </w:p>
    <w:bookmarkStart w:id="20" w:name="X587afa9cb53eaf22c4860a135e953a01f35d2c8"/>
    <w:p>
      <w:pPr>
        <w:pStyle w:val="Heading2"/>
      </w:pPr>
      <w:r>
        <w:t xml:space="preserve">Constantes thermodynamiques, métrologie et stabilisation conventionnelle</w:t>
      </w:r>
    </w:p>
    <w:bookmarkEnd w:id="20"/>
    <w:bookmarkStart w:id="21" w:name="fonction-de-cette-synthèse"/>
    <w:p>
      <w:pPr>
        <w:pStyle w:val="Heading2"/>
      </w:pPr>
      <w:r>
        <w:t xml:space="preserve">1. Fonction de cette synthèse</w:t>
      </w:r>
    </w:p>
    <w:p>
      <w:pPr>
        <w:pStyle w:val="FirstParagraph"/>
      </w:pPr>
      <w:r>
        <w:t xml:space="preserve">Le quatrième cycle avait une fonction méthodologique précise : tester la matrice v0.2 sur un corpus fermé, afin de vérifier si la typologie pouvait mieux compresser.</w:t>
      </w:r>
    </w:p>
    <w:p>
      <w:pPr>
        <w:pStyle w:val="BodyText"/>
      </w:pPr>
      <w:r>
        <w:t xml:space="preserve">Les trois grandeurs traitées étaient :</w:t>
      </w:r>
    </w:p>
    <w:p>
      <w:pPr>
        <w:pStyle w:val="BodyText"/>
      </w:pPr>
      <w:r>
        <w:t xml:space="preserve">[</w:t>
      </w:r>
      <w:r>
        <w:t xml:space="preserve"> </w:t>
      </w:r>
      <w:r>
        <w:t xml:space="preserve">k_B</w:t>
      </w:r>
      <w:r>
        <w:t xml:space="preserve"> </w:t>
      </w:r>
      <w:r>
        <w:t xml:space="preserve">]</w:t>
      </w:r>
    </w:p>
    <w:p>
      <w:pPr>
        <w:pStyle w:val="BodyText"/>
      </w:pPr>
      <w:r>
        <w:t xml:space="preserve">la constante de Boltzmann,</w:t>
      </w:r>
    </w:p>
    <w:p>
      <w:pPr>
        <w:pStyle w:val="BodyText"/>
      </w:pPr>
      <w:r>
        <w:t xml:space="preserve">[</w:t>
      </w:r>
      <w:r>
        <w:t xml:space="preserve"> </w:t>
      </w:r>
      <w:r>
        <w:t xml:space="preserve">N_A</w:t>
      </w:r>
      <w:r>
        <w:t xml:space="preserve"> </w:t>
      </w:r>
      <w:r>
        <w:t xml:space="preserve">]</w:t>
      </w:r>
    </w:p>
    <w:p>
      <w:pPr>
        <w:pStyle w:val="BodyText"/>
      </w:pPr>
      <w:r>
        <w:t xml:space="preserve">la constante d’Avogadro,</w:t>
      </w:r>
    </w:p>
    <w:p>
      <w:pPr>
        <w:pStyle w:val="BodyText"/>
      </w:pPr>
      <w:r>
        <w:t xml:space="preserve">et :</w:t>
      </w:r>
    </w:p>
    <w:p>
      <w:pPr>
        <w:pStyle w:val="BodyText"/>
      </w:pPr>
      <w:r>
        <w:t xml:space="preserve">[</w:t>
      </w:r>
      <w:r>
        <w:t xml:space="preserve"> </w:t>
      </w:r>
      <w:r>
        <w:t xml:space="preserve">R=N_Ak_B</w:t>
      </w:r>
      <w:r>
        <w:t xml:space="preserve"> </w:t>
      </w:r>
      <w:r>
        <w:t xml:space="preserve">]</w:t>
      </w:r>
    </w:p>
    <w:p>
      <w:pPr>
        <w:pStyle w:val="BodyText"/>
      </w:pPr>
      <w:r>
        <w:t xml:space="preserve">la constante molaire des gaz.</w:t>
      </w:r>
    </w:p>
    <w:p>
      <w:pPr>
        <w:pStyle w:val="BodyText"/>
      </w:pPr>
      <w:r>
        <w:t xml:space="preserve">Ce cycle ne visait pas seulement à ajouter trois constantes à la carte. Il devait tester une fragilité apparue après les trois premiers cycles : la confusion possible entre stabilisation empirique, stabilisation physique et stabilisation conventionnelle.</w:t>
      </w:r>
    </w:p>
    <w:p>
      <w:pPr>
        <w:pStyle w:val="BodyText"/>
      </w:pPr>
      <w:r>
        <w:t xml:space="preserve">Le résultat est net : ce cycle oblige à distinguer deux axes.</w:t>
      </w:r>
    </w:p>
    <w:p>
      <w:pPr>
        <w:pStyle w:val="BodyText"/>
      </w:pPr>
      <w:r>
        <w:t xml:space="preserve">D’un côté :</w:t>
      </w:r>
    </w:p>
    <w:p>
      <w:pPr>
        <w:pStyle w:val="BodyText"/>
      </w:pPr>
      <w:r>
        <w:t xml:space="preserve">[</w:t>
      </w:r>
      <w:r>
        <w:t xml:space="preserve"> </w:t>
      </w:r>
      <w:r>
        <w:t xml:space="preserve"> </w:t>
      </w:r>
      <w:r>
        <w:t xml:space="preserve">]</w:t>
      </w:r>
    </w:p>
    <w:p>
      <w:pPr>
        <w:pStyle w:val="BodyText"/>
      </w:pPr>
      <w:r>
        <w:t xml:space="preserve">De l’autre :</w:t>
      </w:r>
    </w:p>
    <w:p>
      <w:pPr>
        <w:pStyle w:val="BodyText"/>
      </w:pPr>
      <w:r>
        <w:t xml:space="preserve">[</w:t>
      </w:r>
      <w:r>
        <w:t xml:space="preserve"> </w:t>
      </w:r>
      <w:r>
        <w:t xml:space="preserve"> </w:t>
      </w:r>
      <w:r>
        <w:t xml:space="preserve">]</w:t>
      </w:r>
    </w:p>
    <w:p>
      <w:pPr>
        <w:pStyle w:val="BodyText"/>
      </w:pPr>
      <w:r>
        <w:t xml:space="preserve">Cette distinction devient indispensable pour toute la suite de l’enquête.</w:t>
      </w:r>
    </w:p>
    <w:bookmarkEnd w:id="21"/>
    <w:bookmarkStart w:id="22" w:name="résultat-général-du-cycle"/>
    <w:p>
      <w:pPr>
        <w:pStyle w:val="Heading2"/>
      </w:pPr>
      <w:r>
        <w:t xml:space="preserve">2. Résultat général du cycle</w:t>
      </w:r>
    </w:p>
    <w:p>
      <w:pPr>
        <w:pStyle w:val="FirstParagraph"/>
      </w:pPr>
      <w:r>
        <w:t xml:space="preserve">Le quatrième cycle montre qu’une constante peut être physiquement significative tout en étant numériquement fixée par convention.</w:t>
      </w:r>
    </w:p>
    <w:p>
      <w:pPr>
        <w:pStyle w:val="BodyText"/>
      </w:pPr>
      <w:r>
        <w:t xml:space="preserve">Le BIPM définit le SI à partir de sept constantes définissantes : (</w:t>
      </w:r>
      <w:r>
        <w:rPr>
          <w:i/>
          <w:iCs/>
        </w:rPr>
        <w:t xml:space="preserve">{</w:t>
      </w:r>
      <w:r>
        <w:rPr>
          <w:i/>
          <w:iCs/>
        </w:rPr>
        <w:t xml:space="preserve">}), (c), (h), (e), (k), (N_A) et (K</w:t>
      </w:r>
      <w:r>
        <w:t xml:space="preserve">{</w:t>
      </w:r>
      <w:r>
        <w:t xml:space="preserve">}). Il précise que leurs valeurs numériques sont exactes et sans incertitude. Parmi elles, (k) et (N_A) ont respectivement les valeurs :</w:t>
      </w:r>
    </w:p>
    <w:p>
      <w:pPr>
        <w:pStyle w:val="BodyText"/>
      </w:pPr>
      <w:r>
        <w:t xml:space="preserve">[</w:t>
      </w:r>
      <w:r>
        <w:t xml:space="preserve"> </w:t>
      </w:r>
      <w:r>
        <w:t xml:space="preserve">k = 1{,}380,649</w:t>
      </w:r>
      <w:r>
        <w:t xml:space="preserve"> </w:t>
      </w:r>
      <w:r>
        <w:t xml:space="preserve">^{-23} </w:t>
      </w:r>
      <w:r>
        <w:t xml:space="preserve"> </w:t>
      </w:r>
      <w:r>
        <w:t xml:space="preserve">]</w:t>
      </w:r>
    </w:p>
    <w:p>
      <w:pPr>
        <w:pStyle w:val="BodyText"/>
      </w:pPr>
      <w:r>
        <w:t xml:space="preserve">[</w:t>
      </w:r>
      <w:r>
        <w:t xml:space="preserve"> </w:t>
      </w:r>
      <w:r>
        <w:t xml:space="preserve">N_A = 6{,}022,140,76</w:t>
      </w:r>
      <w:r>
        <w:t xml:space="preserve"> </w:t>
      </w:r>
      <w:r>
        <w:t xml:space="preserve">^{23} </w:t>
      </w:r>
      <w:r>
        <w:t xml:space="preserve"> </w:t>
      </w:r>
      <w:r>
        <w:t xml:space="preserve">]</w:t>
      </w:r>
    </w:p>
    <w:p>
      <w:pPr>
        <w:pStyle w:val="BodyText"/>
      </w:pPr>
      <w:r>
        <w:t xml:space="preserve">Cela signifie que (k_B) et (N_A) ne sont pas aujourd’hui</w:t>
      </w:r>
      <w:r>
        <w:t xml:space="preserve"> </w:t>
      </w:r>
      <w:r>
        <w:t xml:space="preserve">“mesurées avec une précision infinie”</w:t>
      </w:r>
      <w:r>
        <w:t xml:space="preserve">. Elles ont des valeurs exactes parce que le SI les fixe comme constantes définissantes.</w:t>
      </w:r>
    </w:p>
    <w:p>
      <w:pPr>
        <w:pStyle w:val="BodyText"/>
      </w:pPr>
      <w:r>
        <w:t xml:space="preserve">Le cas (R) ajoute une nuance : (R) n’est pas une constante définissante primaire du SI, mais elle devient exacte par composition, puisque :</w:t>
      </w:r>
    </w:p>
    <w:p>
      <w:pPr>
        <w:pStyle w:val="BodyText"/>
      </w:pPr>
      <w:r>
        <w:t xml:space="preserve">[</w:t>
      </w:r>
      <w:r>
        <w:t xml:space="preserve"> </w:t>
      </w:r>
      <w:r>
        <w:t xml:space="preserve">R=N_Ak_B</w:t>
      </w:r>
      <w:r>
        <w:t xml:space="preserve"> </w:t>
      </w:r>
      <w:r>
        <w:t xml:space="preserve">]</w:t>
      </w:r>
    </w:p>
    <w:p>
      <w:pPr>
        <w:pStyle w:val="BodyText"/>
      </w:pPr>
      <w:r>
        <w:t xml:space="preserve">et que (N_A) et (k_B) sont toutes deux exactes dans le SI. Le BIPM indique que toutes les unités du SI peuvent être écrites à partir des constantes définissantes, ou à partir de produits et quotients de ces constantes.</w:t>
      </w:r>
    </w:p>
    <w:p>
      <w:pPr>
        <w:pStyle w:val="BodyText"/>
      </w:pPr>
      <w:r>
        <w:t xml:space="preserve">Le cycle introduit donc deux sous-types métrologiques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bookmarkEnd w:id="22"/>
    <w:bookmarkStart w:id="23" w:name="k_b-passage-températureénergie"/>
    <w:p>
      <w:pPr>
        <w:pStyle w:val="Heading2"/>
      </w:pPr>
      <w:r>
        <w:t xml:space="preserve">3. (k_B) : passage température/énergie</w:t>
      </w:r>
    </w:p>
    <w:p>
      <w:pPr>
        <w:pStyle w:val="FirstParagraph"/>
      </w:pPr>
      <w:r>
        <w:t xml:space="preserve">La constante de Boltzmann :</w:t>
      </w:r>
    </w:p>
    <w:p>
      <w:pPr>
        <w:pStyle w:val="BodyText"/>
      </w:pPr>
      <w:r>
        <w:t xml:space="preserve">[</w:t>
      </w:r>
      <w:r>
        <w:t xml:space="preserve"> </w:t>
      </w:r>
      <w:r>
        <w:t xml:space="preserve">k_B</w:t>
      </w:r>
      <w:r>
        <w:t xml:space="preserve"> </w:t>
      </w:r>
      <w:r>
        <w:t xml:space="preserve">]</w:t>
      </w:r>
    </w:p>
    <w:p>
      <w:pPr>
        <w:pStyle w:val="BodyText"/>
      </w:pPr>
      <w:r>
        <w:t xml:space="preserve">relie la température thermodynamique à une échelle d’énergie.</w:t>
      </w:r>
    </w:p>
    <w:p>
      <w:pPr>
        <w:pStyle w:val="BodyText"/>
      </w:pPr>
      <w:r>
        <w:t xml:space="preserve">Sa fonction physique principale est exprimée par :</w:t>
      </w:r>
    </w:p>
    <w:p>
      <w:pPr>
        <w:pStyle w:val="BodyText"/>
      </w:pPr>
      <w:r>
        <w:t xml:space="preserve">[</w:t>
      </w:r>
      <w:r>
        <w:t xml:space="preserve"> </w:t>
      </w:r>
      <w:r>
        <w:t xml:space="preserve">k_B T</w:t>
      </w:r>
      <w:r>
        <w:t xml:space="preserve"> </w:t>
      </w:r>
      <w:r>
        <w:t xml:space="preserve">]</w:t>
      </w:r>
    </w:p>
    <w:p>
      <w:pPr>
        <w:pStyle w:val="BodyText"/>
      </w:pPr>
      <w:r>
        <w:t xml:space="preserve">qui donne une énergie thermique caractéristique associée à une température (T).</w:t>
      </w:r>
    </w:p>
    <w:p>
      <w:pPr>
        <w:pStyle w:val="BodyText"/>
      </w:pPr>
      <w:r>
        <w:t xml:space="preserve">Dans la physique statistique, elle intervient aussi dans :</w:t>
      </w:r>
    </w:p>
    <w:p>
      <w:pPr>
        <w:pStyle w:val="BodyText"/>
      </w:pPr>
      <w:r>
        <w:t xml:space="preserve">[</w:t>
      </w:r>
      <w:r>
        <w:t xml:space="preserve"> </w:t>
      </w:r>
      <w:r>
        <w:t xml:space="preserve">S=k_B</w:t>
      </w:r>
      <w:r>
        <w:t xml:space="preserve">W</w:t>
      </w:r>
      <w:r>
        <w:t xml:space="preserve"> </w:t>
      </w:r>
      <w:r>
        <w:t xml:space="preserve">]</w:t>
      </w:r>
    </w:p>
    <w:p>
      <w:pPr>
        <w:pStyle w:val="BodyText"/>
      </w:pPr>
      <w:r>
        <w:t xml:space="preserve">et dans la distribution de Boltzmann :</w:t>
      </w:r>
    </w:p>
    <w:p>
      <w:pPr>
        <w:pStyle w:val="BodyText"/>
      </w:pPr>
      <w:r>
        <w:t xml:space="preserve">[</w:t>
      </w:r>
      <w:r>
        <w:t xml:space="preserve"> </w:t>
      </w:r>
      <w:r>
        <w:t xml:space="preserve">e^{-E_i/(k_BT)}</w:t>
      </w:r>
      <w:r>
        <w:t xml:space="preserve"> </w:t>
      </w:r>
      <w:r>
        <w:t xml:space="preserve">]</w:t>
      </w:r>
    </w:p>
    <w:p>
      <w:pPr>
        <w:pStyle w:val="BodyText"/>
      </w:pPr>
      <w:r>
        <w:t xml:space="preserve">La fonction de (k_B) n’est donc pas seulement de convertir des unités. Elle permet de raccorder une description statistique microscopique à une grandeur thermodynamique macroscopique.</w:t>
      </w:r>
    </w:p>
    <w:p>
      <w:pPr>
        <w:pStyle w:val="BodyText"/>
      </w:pPr>
      <w:r>
        <w:t xml:space="preserve">Catégorie physique :</w:t>
      </w:r>
    </w:p>
    <w:p>
      <w:pPr>
        <w:pStyle w:val="BodyText"/>
      </w:pPr>
      <w:r>
        <w:t xml:space="preserve">[</w:t>
      </w:r>
      <w:r>
        <w:t xml:space="preserve"> </w:t>
      </w:r>
      <w:r>
        <w:t xml:space="preserve"> </w:t>
      </w:r>
      <w:r>
        <w:t xml:space="preserve">]</w:t>
      </w:r>
    </w:p>
    <w:p>
      <w:pPr>
        <w:pStyle w:val="BodyText"/>
      </w:pPr>
      <w:r>
        <w:t xml:space="preserve">Catégorie métrologique :</w:t>
      </w:r>
    </w:p>
    <w:p>
      <w:pPr>
        <w:pStyle w:val="BodyText"/>
      </w:pPr>
      <w:r>
        <w:t xml:space="preserve">[</w:t>
      </w:r>
      <w:r>
        <w:t xml:space="preserve"> </w:t>
      </w:r>
      <w:r>
        <w:t xml:space="preserve"> </w:t>
      </w:r>
      <w:r>
        <w:t xml:space="preserve">]</w:t>
      </w:r>
    </w:p>
    <w:p>
      <w:pPr>
        <w:pStyle w:val="BodyText"/>
      </w:pPr>
      <w:r>
        <w:t xml:space="preserve">La fiche (k_B) a donc validé la bifurcation entre régime de définition physique et régime d’accès épistémique.</w:t>
      </w:r>
    </w:p>
    <w:bookmarkEnd w:id="23"/>
    <w:bookmarkStart w:id="24" w:name="n_a-passage-comptagemole"/>
    <w:p>
      <w:pPr>
        <w:pStyle w:val="Heading2"/>
      </w:pPr>
      <w:r>
        <w:t xml:space="preserve">4. (N_A) : passage comptage/mole</w:t>
      </w:r>
    </w:p>
    <w:p>
      <w:pPr>
        <w:pStyle w:val="FirstParagraph"/>
      </w:pPr>
      <w:r>
        <w:t xml:space="preserve">La constante d’Avogadro :</w:t>
      </w:r>
    </w:p>
    <w:p>
      <w:pPr>
        <w:pStyle w:val="BodyText"/>
      </w:pPr>
      <w:r>
        <w:t xml:space="preserve">[</w:t>
      </w:r>
      <w:r>
        <w:t xml:space="preserve"> </w:t>
      </w:r>
      <w:r>
        <w:t xml:space="preserve">N_A</w:t>
      </w:r>
      <w:r>
        <w:t xml:space="preserve"> </w:t>
      </w:r>
      <w:r>
        <w:t xml:space="preserve">]</w:t>
      </w:r>
    </w:p>
    <w:p>
      <w:pPr>
        <w:pStyle w:val="BodyText"/>
      </w:pPr>
      <w:r>
        <w:t xml:space="preserve">relie un nombre d’entités élémentaires à une quantité de matière exprimée en moles :</w:t>
      </w:r>
    </w:p>
    <w:p>
      <w:pPr>
        <w:pStyle w:val="BodyText"/>
      </w:pPr>
      <w:r>
        <w:t xml:space="preserve">[</w:t>
      </w:r>
      <w:r>
        <w:t xml:space="preserve"> </w:t>
      </w:r>
      <w:r>
        <w:t xml:space="preserve">N=nN_A</w:t>
      </w:r>
      <w:r>
        <w:t xml:space="preserve"> </w:t>
      </w:r>
      <w:r>
        <w:t xml:space="preserve">]</w:t>
      </w:r>
    </w:p>
    <w:p>
      <w:pPr>
        <w:pStyle w:val="BodyText"/>
      </w:pPr>
      <w:r>
        <w:t xml:space="preserve">Sa fonction physique principale est de permettre le passage entre le comptage discret des entités et le niveau macroscopique de la quantité de matière.</w:t>
      </w:r>
    </w:p>
    <w:p>
      <w:pPr>
        <w:pStyle w:val="BodyText"/>
      </w:pPr>
      <w:r>
        <w:t xml:space="preserve">Elle intervient dans la relation entre description particulaire et description molaire. Par exemple :</w:t>
      </w:r>
    </w:p>
    <w:p>
      <w:pPr>
        <w:pStyle w:val="BodyText"/>
      </w:pPr>
      <w:r>
        <w:t xml:space="preserve">[</w:t>
      </w:r>
      <w:r>
        <w:t xml:space="preserve"> </w:t>
      </w:r>
      <w:r>
        <w:t xml:space="preserve">PV=Nk_BT</w:t>
      </w:r>
      <w:r>
        <w:t xml:space="preserve"> </w:t>
      </w:r>
      <w:r>
        <w:t xml:space="preserve">]</w:t>
      </w:r>
    </w:p>
    <w:p>
      <w:pPr>
        <w:pStyle w:val="BodyText"/>
      </w:pPr>
      <w:r>
        <w:t xml:space="preserve">peut être réécrit :</w:t>
      </w:r>
    </w:p>
    <w:p>
      <w:pPr>
        <w:pStyle w:val="BodyText"/>
      </w:pPr>
      <w:r>
        <w:t xml:space="preserve">[</w:t>
      </w:r>
      <w:r>
        <w:t xml:space="preserve"> </w:t>
      </w:r>
      <w:r>
        <w:t xml:space="preserve">PV=nRT</w:t>
      </w:r>
      <w:r>
        <w:t xml:space="preserve"> </w:t>
      </w:r>
      <w:r>
        <w:t xml:space="preserve">]</w:t>
      </w:r>
    </w:p>
    <w:p>
      <w:pPr>
        <w:pStyle w:val="BodyText"/>
      </w:pPr>
      <w:r>
        <w:t xml:space="preserve">si :</w:t>
      </w:r>
    </w:p>
    <w:p>
      <w:pPr>
        <w:pStyle w:val="BodyText"/>
      </w:pPr>
      <w:r>
        <w:t xml:space="preserve">[</w:t>
      </w:r>
      <w:r>
        <w:t xml:space="preserve"> </w:t>
      </w:r>
      <w:r>
        <w:t xml:space="preserve">N=nN_A</w:t>
      </w:r>
      <w:r>
        <w:t xml:space="preserve"> </w:t>
      </w:r>
      <w:r>
        <w:t xml:space="preserve">]</w:t>
      </w:r>
    </w:p>
    <w:p>
      <w:pPr>
        <w:pStyle w:val="BodyText"/>
      </w:pPr>
      <w:r>
        <w:t xml:space="preserve">et :</w:t>
      </w:r>
    </w:p>
    <w:p>
      <w:pPr>
        <w:pStyle w:val="BodyText"/>
      </w:pPr>
      <w:r>
        <w:t xml:space="preserve">[</w:t>
      </w:r>
      <w:r>
        <w:t xml:space="preserve"> </w:t>
      </w:r>
      <w:r>
        <w:t xml:space="preserve">R=N_Ak_B</w:t>
      </w:r>
      <w:r>
        <w:t xml:space="preserve"> </w:t>
      </w:r>
      <w:r>
        <w:t xml:space="preserve">]</w:t>
      </w:r>
    </w:p>
    <w:p>
      <w:pPr>
        <w:pStyle w:val="BodyText"/>
      </w:pPr>
      <w:r>
        <w:t xml:space="preserve">Catégorie physique :</w:t>
      </w:r>
    </w:p>
    <w:p>
      <w:pPr>
        <w:pStyle w:val="BodyText"/>
      </w:pPr>
      <w:r>
        <w:t xml:space="preserve">[</w:t>
      </w:r>
      <w:r>
        <w:t xml:space="preserve"> </w:t>
      </w:r>
      <w:r>
        <w:t xml:space="preserve"> </w:t>
      </w:r>
      <w:r>
        <w:t xml:space="preserve">]</w:t>
      </w:r>
    </w:p>
    <w:p>
      <w:pPr>
        <w:pStyle w:val="BodyText"/>
      </w:pPr>
      <w:r>
        <w:t xml:space="preserve">Catégorie métrologique :</w:t>
      </w:r>
    </w:p>
    <w:p>
      <w:pPr>
        <w:pStyle w:val="BodyText"/>
      </w:pPr>
      <w:r>
        <w:t xml:space="preserve">[</w:t>
      </w:r>
      <w:r>
        <w:t xml:space="preserve"> </w:t>
      </w:r>
      <w:r>
        <w:t xml:space="preserve"> </w:t>
      </w:r>
      <w:r>
        <w:t xml:space="preserve">]</w:t>
      </w:r>
    </w:p>
    <w:p>
      <w:pPr>
        <w:pStyle w:val="BodyText"/>
      </w:pPr>
      <w:r>
        <w:t xml:space="preserve">Le cas (N_A) confirme que deux constantes peuvent appartenir à la même famille métrologique tout en exerçant des fonctions physiques différentes.</w:t>
      </w:r>
    </w:p>
    <w:bookmarkEnd w:id="24"/>
    <w:bookmarkStart w:id="25" w:name="r-exactitude-par-composition"/>
    <w:p>
      <w:pPr>
        <w:pStyle w:val="Heading2"/>
      </w:pPr>
      <w:r>
        <w:t xml:space="preserve">5. (R) : exactitude par composition</w:t>
      </w:r>
    </w:p>
    <w:p>
      <w:pPr>
        <w:pStyle w:val="FirstParagraph"/>
      </w:pPr>
      <w:r>
        <w:t xml:space="preserve">La constante molaire des gaz :</w:t>
      </w:r>
    </w:p>
    <w:p>
      <w:pPr>
        <w:pStyle w:val="BodyText"/>
      </w:pPr>
      <w:r>
        <w:t xml:space="preserve">[</w:t>
      </w:r>
      <w:r>
        <w:t xml:space="preserve"> </w:t>
      </w:r>
      <w:r>
        <w:t xml:space="preserve">R</w:t>
      </w:r>
      <w:r>
        <w:t xml:space="preserve"> </w:t>
      </w:r>
      <w:r>
        <w:t xml:space="preserve">]</w:t>
      </w:r>
    </w:p>
    <w:p>
      <w:pPr>
        <w:pStyle w:val="BodyText"/>
      </w:pPr>
      <w:r>
        <w:t xml:space="preserve">intervient dans :</w:t>
      </w:r>
    </w:p>
    <w:p>
      <w:pPr>
        <w:pStyle w:val="BodyText"/>
      </w:pPr>
      <w:r>
        <w:t xml:space="preserve">[</w:t>
      </w:r>
      <w:r>
        <w:t xml:space="preserve"> </w:t>
      </w:r>
      <w:r>
        <w:t xml:space="preserve">PV=nRT</w:t>
      </w:r>
      <w:r>
        <w:t xml:space="preserve"> </w:t>
      </w:r>
      <w:r>
        <w:t xml:space="preserve">]</w:t>
      </w:r>
    </w:p>
    <w:p>
      <w:pPr>
        <w:pStyle w:val="BodyText"/>
      </w:pPr>
      <w:r>
        <w:t xml:space="preserve">Elle relie température, énergie et quantité de matière dans le langage thermodynamique molaire.</w:t>
      </w:r>
    </w:p>
    <w:p>
      <w:pPr>
        <w:pStyle w:val="BodyText"/>
      </w:pPr>
      <w:r>
        <w:t xml:space="preserve">Son rôle physique peut être lu comme la version molaire de (k_B) :</w:t>
      </w:r>
    </w:p>
    <w:p>
      <w:pPr>
        <w:pStyle w:val="BodyText"/>
      </w:pPr>
      <w:r>
        <w:t xml:space="preserve">[</w:t>
      </w:r>
      <w:r>
        <w:t xml:space="preserve"> </w:t>
      </w:r>
      <w:r>
        <w:t xml:space="preserve">RT=N_Ak_BT</w:t>
      </w:r>
      <w:r>
        <w:t xml:space="preserve"> </w:t>
      </w:r>
      <w:r>
        <w:t xml:space="preserve">]</w:t>
      </w:r>
    </w:p>
    <w:p>
      <w:pPr>
        <w:pStyle w:val="BodyText"/>
      </w:pPr>
      <w:r>
        <w:t xml:space="preserve">Elle transporte donc la relation température/énergie au niveau de la mole.</w:t>
      </w:r>
    </w:p>
    <w:p>
      <w:pPr>
        <w:pStyle w:val="BodyText"/>
      </w:pPr>
      <w:r>
        <w:t xml:space="preserve">Mais son statut métrologique est différent de celui de (k_B) et de (N_A). (R) n’est pas l’une des sept constantes définissantes du SI. Elle est exacte parce qu’elle est le produit de deux constantes définissantes exactes :</w:t>
      </w:r>
    </w:p>
    <w:p>
      <w:pPr>
        <w:pStyle w:val="BodyText"/>
      </w:pPr>
      <w:r>
        <w:t xml:space="preserve">[</w:t>
      </w:r>
      <w:r>
        <w:t xml:space="preserve"> </w:t>
      </w:r>
      <w:r>
        <w:t xml:space="preserve">R=N_Ak_B</w:t>
      </w:r>
      <w:r>
        <w:t xml:space="preserve"> </w:t>
      </w:r>
      <w:r>
        <w:t xml:space="preserve">]</w:t>
      </w:r>
    </w:p>
    <w:p>
      <w:pPr>
        <w:pStyle w:val="BodyText"/>
      </w:pPr>
      <w:r>
        <w:t xml:space="preserve">Catégorie physique :</w:t>
      </w:r>
    </w:p>
    <w:p>
      <w:pPr>
        <w:pStyle w:val="BodyText"/>
      </w:pPr>
      <w:r>
        <w:t xml:space="preserve">[</w:t>
      </w:r>
      <w:r>
        <w:t xml:space="preserve"> </w:t>
      </w:r>
      <w:r>
        <w:t xml:space="preserve"> </w:t>
      </w:r>
      <w:r>
        <w:t xml:space="preserve">]</w:t>
      </w:r>
    </w:p>
    <w:p>
      <w:pPr>
        <w:pStyle w:val="BodyText"/>
      </w:pPr>
      <w:r>
        <w:t xml:space="preserve">Catégorie métrologique :</w:t>
      </w:r>
    </w:p>
    <w:p>
      <w:pPr>
        <w:pStyle w:val="BodyText"/>
      </w:pPr>
      <w:r>
        <w:t xml:space="preserve">[</w:t>
      </w:r>
      <w:r>
        <w:t xml:space="preserve"> </w:t>
      </w:r>
      <w:r>
        <w:t xml:space="preserve"> </w:t>
      </w:r>
      <w:r>
        <w:t xml:space="preserve">]</w:t>
      </w:r>
    </w:p>
    <w:p>
      <w:pPr>
        <w:pStyle w:val="BodyText"/>
      </w:pPr>
      <w:r>
        <w:t xml:space="preserve">Le cas (R) est décisif parce qu’il montre que toutes les constantes exactes ne sont pas exactes de la même manière.</w:t>
      </w:r>
    </w:p>
    <w:bookmarkEnd w:id="25"/>
    <w:bookmarkStart w:id="26" w:name="tableau-synthétique-du-quatrième-cycle"/>
    <w:p>
      <w:pPr>
        <w:pStyle w:val="Heading2"/>
      </w:pPr>
      <w:r>
        <w:t xml:space="preserve">6. Tableau synthétique du quatrième cycle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Grandeur</w:t>
            </w:r>
          </w:p>
        </w:tc>
        <w:tc>
          <w:tcPr/>
          <w:p>
            <w:pPr>
              <w:pStyle w:val="Compact"/>
            </w:pPr>
            <w:r>
              <w:t xml:space="preserve">Fonction physique</w:t>
            </w:r>
          </w:p>
        </w:tc>
        <w:tc>
          <w:tcPr/>
          <w:p>
            <w:pPr>
              <w:pStyle w:val="Compact"/>
            </w:pPr>
            <w:r>
              <w:t xml:space="preserve">Statut métrologique</w:t>
            </w:r>
          </w:p>
        </w:tc>
        <w:tc>
          <w:tcPr/>
          <w:p>
            <w:pPr>
              <w:pStyle w:val="Compact"/>
            </w:pPr>
            <w:r>
              <w:t xml:space="preserve">Type de stabilisation</w:t>
            </w:r>
          </w:p>
        </w:tc>
      </w:tr>
      <w:tr>
        <w:tc>
          <w:tcPr/>
          <w:p>
            <w:pPr>
              <w:pStyle w:val="Compact"/>
            </w:pPr>
            <w:r>
              <w:t xml:space="preserve">(k_B)</w:t>
            </w:r>
          </w:p>
        </w:tc>
        <w:tc>
          <w:tcPr/>
          <w:p>
            <w:pPr>
              <w:pStyle w:val="Compact"/>
            </w:pPr>
            <w:r>
              <w:t xml:space="preserve">Relier température et énergie</w:t>
            </w:r>
          </w:p>
        </w:tc>
        <w:tc>
          <w:tcPr/>
          <w:p>
            <w:pPr>
              <w:pStyle w:val="Compact"/>
            </w:pPr>
            <w:r>
              <w:t xml:space="preserve">Constante définissante du SI</w:t>
            </w:r>
          </w:p>
        </w:tc>
        <w:tc>
          <w:tcPr/>
          <w:p>
            <w:pPr>
              <w:pStyle w:val="Compact"/>
            </w:pPr>
            <w:r>
              <w:t xml:space="preserve">Exactitude primaire par convention</w:t>
            </w:r>
          </w:p>
        </w:tc>
      </w:tr>
      <w:tr>
        <w:tc>
          <w:tcPr/>
          <w:p>
            <w:pPr>
              <w:pStyle w:val="Compact"/>
            </w:pPr>
            <w:r>
              <w:t xml:space="preserve">(N_A)</w:t>
            </w:r>
          </w:p>
        </w:tc>
        <w:tc>
          <w:tcPr/>
          <w:p>
            <w:pPr>
              <w:pStyle w:val="Compact"/>
            </w:pPr>
            <w:r>
              <w:t xml:space="preserve">Relier nombre d’entités et quantité de matière</w:t>
            </w:r>
          </w:p>
        </w:tc>
        <w:tc>
          <w:tcPr/>
          <w:p>
            <w:pPr>
              <w:pStyle w:val="Compact"/>
            </w:pPr>
            <w:r>
              <w:t xml:space="preserve">Constante définissante du SI</w:t>
            </w:r>
          </w:p>
        </w:tc>
        <w:tc>
          <w:tcPr/>
          <w:p>
            <w:pPr>
              <w:pStyle w:val="Compact"/>
            </w:pPr>
            <w:r>
              <w:t xml:space="preserve">Exactitude primaire par convention</w:t>
            </w:r>
          </w:p>
        </w:tc>
      </w:tr>
      <w:tr>
        <w:tc>
          <w:tcPr/>
          <w:p>
            <w:pPr>
              <w:pStyle w:val="Compact"/>
            </w:pPr>
            <w:r>
              <w:t xml:space="preserve">(R)</w:t>
            </w:r>
          </w:p>
        </w:tc>
        <w:tc>
          <w:tcPr/>
          <w:p>
            <w:pPr>
              <w:pStyle w:val="Compact"/>
            </w:pPr>
            <w:r>
              <w:t xml:space="preserve">Relier température, énergie et quantité de matière au niveau molaire</w:t>
            </w:r>
          </w:p>
        </w:tc>
        <w:tc>
          <w:tcPr/>
          <w:p>
            <w:pPr>
              <w:pStyle w:val="Compact"/>
            </w:pPr>
            <w:r>
              <w:t xml:space="preserve">Constante dérivée de (N_Ak_B)</w:t>
            </w:r>
          </w:p>
        </w:tc>
        <w:tc>
          <w:tcPr/>
          <w:p>
            <w:pPr>
              <w:pStyle w:val="Compact"/>
            </w:pPr>
            <w:r>
              <w:t xml:space="preserve">Exactitude par composition</w:t>
            </w:r>
          </w:p>
        </w:tc>
      </w:tr>
    </w:tbl>
    <w:p>
      <w:pPr>
        <w:pStyle w:val="BodyText"/>
      </w:pPr>
      <w:r>
        <w:t xml:space="preserve">Ce tableau montre que le cycle 4 ne produit pas trois catégories indépendantes. Il produit une famille commune, structurée en sous-types.</w:t>
      </w:r>
    </w:p>
    <w:p>
      <w:pPr>
        <w:pStyle w:val="BodyText"/>
      </w:pPr>
      <w:r>
        <w:t xml:space="preserve">La famille commune est :</w:t>
      </w:r>
    </w:p>
    <w:p>
      <w:pPr>
        <w:pStyle w:val="BodyText"/>
      </w:pPr>
      <w:r>
        <w:t xml:space="preserve">[</w:t>
      </w:r>
      <w:r>
        <w:t xml:space="preserve"> </w:t>
      </w:r>
      <w:r>
        <w:t xml:space="preserve"> </w:t>
      </w:r>
      <w:r>
        <w:t xml:space="preserve">]</w:t>
      </w:r>
    </w:p>
    <w:p>
      <w:pPr>
        <w:pStyle w:val="BodyText"/>
      </w:pPr>
      <w:r>
        <w:t xml:space="preserve">avec deux sous-types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bookmarkEnd w:id="26"/>
    <w:bookmarkStart w:id="27" w:name="ce-que-le-cycle-4-ajoute-à-la-taxonomie"/>
    <w:p>
      <w:pPr>
        <w:pStyle w:val="Heading2"/>
      </w:pPr>
      <w:r>
        <w:t xml:space="preserve">7. Ce que le cycle 4 ajoute à la taxonomie</w:t>
      </w:r>
    </w:p>
    <w:p>
      <w:pPr>
        <w:pStyle w:val="FirstParagraph"/>
      </w:pPr>
      <w:r>
        <w:t xml:space="preserve">Le quatrième cycle ajoute trois résultats importants.</w:t>
      </w:r>
    </w:p>
    <w:p>
      <w:pPr>
        <w:pStyle w:val="BodyText"/>
      </w:pPr>
      <w:r>
        <w:t xml:space="preserve">Premièrement, il confirme que la taxonomie doit distinguer les familles fonctionnelles et les sous-types locaux. (k_B), (N_A) et (R) relèvent de la même grande famille métrologique, mais pas de la même fonction physique.</w:t>
      </w:r>
    </w:p>
    <w:p>
      <w:pPr>
        <w:pStyle w:val="BodyText"/>
      </w:pPr>
      <w:r>
        <w:t xml:space="preserve">Deuxièmement, il impose une séparation nette entre exactitude numérique et mesure empirique. Une valeur exacte peut être une valeur stipulée dans un système d’unités.</w:t>
      </w:r>
    </w:p>
    <w:p>
      <w:pPr>
        <w:pStyle w:val="BodyText"/>
      </w:pPr>
      <w:r>
        <w:t xml:space="preserve">Troisièmement, il montre que le mot</w:t>
      </w:r>
      <w:r>
        <w:t xml:space="preserve"> </w:t>
      </w:r>
      <w:r>
        <w:t xml:space="preserve">“constante”</w:t>
      </w:r>
      <w:r>
        <w:t xml:space="preserve"> </w:t>
      </w:r>
      <w:r>
        <w:t xml:space="preserve">peut désigner une grandeur physiquement opératoire, mais aussi une pièce de l’architecture métrologique. Ces deux statuts peuvent se superposer sans se confondre.</w:t>
      </w:r>
    </w:p>
    <w:p>
      <w:pPr>
        <w:pStyle w:val="BodyText"/>
      </w:pPr>
      <w:r>
        <w:t xml:space="preserve">La formule importante est donc :</w:t>
      </w:r>
    </w:p>
    <w:p>
      <w:pPr>
        <w:pStyle w:val="BodyText"/>
      </w:pPr>
      <w:r>
        <w:rPr>
          <w:b/>
          <w:bCs/>
        </w:rPr>
        <w:t xml:space="preserve">l’exactitude conventionnelle n’est pas une maturité empirique infinie.</w:t>
      </w:r>
    </w:p>
    <w:bookmarkEnd w:id="27"/>
    <w:bookmarkStart w:id="30" w:name="révision-de-laxe-de-stabilisation"/>
    <w:p>
      <w:pPr>
        <w:pStyle w:val="Heading2"/>
      </w:pPr>
      <w:r>
        <w:t xml:space="preserve">8. Révision de l’axe de stabilisation</w:t>
      </w:r>
    </w:p>
    <w:p>
      <w:pPr>
        <w:pStyle w:val="FirstParagraph"/>
      </w:pPr>
      <w:r>
        <w:t xml:space="preserve">Après le quatrième cycle, l’axe de stabilisation doit être explicitement bifurqué.</w:t>
      </w:r>
    </w:p>
    <w:bookmarkStart w:id="28" w:name="stabilisation-empirique"/>
    <w:p>
      <w:pPr>
        <w:pStyle w:val="Heading3"/>
      </w:pPr>
      <w:r>
        <w:t xml:space="preserve">8.1 Stabilisation empirique</w:t>
      </w:r>
    </w:p>
    <w:p>
      <w:pPr>
        <w:pStyle w:val="FirstParagraph"/>
      </w:pPr>
      <w:r>
        <w:t xml:space="preserve">Cet axe concerne la manière dont une grandeur est mesurée, contrainte ou reconstruite.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Niveau</w:t>
            </w:r>
          </w:p>
        </w:tc>
        <w:tc>
          <w:tcPr/>
          <w:p>
            <w:pPr>
              <w:pStyle w:val="Compact"/>
            </w:pPr>
            <w:r>
              <w:t xml:space="preserve">Statut</w:t>
            </w:r>
          </w:p>
        </w:tc>
      </w:tr>
      <w:tr>
        <w:tc>
          <w:tcPr/>
          <w:p>
            <w:pPr>
              <w:pStyle w:val="Compact"/>
            </w:pPr>
            <w:r>
              <w:t xml:space="preserve">Fortement stabilisée</w:t>
            </w:r>
          </w:p>
        </w:tc>
        <w:tc>
          <w:tcPr/>
          <w:p>
            <w:pPr>
              <w:pStyle w:val="Compact"/>
            </w:pPr>
            <w:r>
              <w:t xml:space="preserve">Mesure ou contrainte robuste</w:t>
            </w:r>
          </w:p>
        </w:tc>
      </w:tr>
      <w:tr>
        <w:tc>
          <w:tcPr/>
          <w:p>
            <w:pPr>
              <w:pStyle w:val="Compact"/>
            </w:pPr>
            <w:r>
              <w:t xml:space="preserve">Partiellement stabilisée</w:t>
            </w:r>
          </w:p>
        </w:tc>
        <w:tc>
          <w:tcPr/>
          <w:p>
            <w:pPr>
              <w:pStyle w:val="Compact"/>
            </w:pPr>
            <w:r>
              <w:t xml:space="preserve">Valeur générale connue, détail ouvert</w:t>
            </w:r>
          </w:p>
        </w:tc>
      </w:tr>
      <w:tr>
        <w:tc>
          <w:tcPr/>
          <w:p>
            <w:pPr>
              <w:pStyle w:val="Compact"/>
            </w:pPr>
            <w:r>
              <w:t xml:space="preserve">En cours de stabilisation</w:t>
            </w:r>
          </w:p>
        </w:tc>
        <w:tc>
          <w:tcPr/>
          <w:p>
            <w:pPr>
              <w:pStyle w:val="Compact"/>
            </w:pPr>
            <w:r>
              <w:t xml:space="preserve">Paramètre nécessaire mais valeur encore incertaine</w:t>
            </w:r>
          </w:p>
        </w:tc>
      </w:tr>
      <w:tr>
        <w:tc>
          <w:tcPr/>
          <w:p>
            <w:pPr>
              <w:pStyle w:val="Compact"/>
            </w:pPr>
            <w:r>
              <w:t xml:space="preserve">Bornée</w:t>
            </w:r>
          </w:p>
        </w:tc>
        <w:tc>
          <w:tcPr/>
          <w:p>
            <w:pPr>
              <w:pStyle w:val="Compact"/>
            </w:pPr>
            <w:r>
              <w:t xml:space="preserve">Limite sans mesure positive</w:t>
            </w:r>
          </w:p>
        </w:tc>
      </w:tr>
      <w:tr>
        <w:tc>
          <w:tcPr/>
          <w:p>
            <w:pPr>
              <w:pStyle w:val="Compact"/>
            </w:pPr>
            <w:r>
              <w:t xml:space="preserve">Structurellement ouverte</w:t>
            </w:r>
          </w:p>
        </w:tc>
        <w:tc>
          <w:tcPr/>
          <w:p>
            <w:pPr>
              <w:pStyle w:val="Compact"/>
            </w:pPr>
            <w:r>
              <w:t xml:space="preserve">Question physique non tranchée</w:t>
            </w:r>
          </w:p>
        </w:tc>
      </w:tr>
    </w:tbl>
    <w:bookmarkEnd w:id="28"/>
    <w:bookmarkStart w:id="29" w:name="stabilisation-conventionnelle"/>
    <w:p>
      <w:pPr>
        <w:pStyle w:val="Heading3"/>
      </w:pPr>
      <w:r>
        <w:t xml:space="preserve">8.2 Stabilisation conventionnelle</w:t>
      </w:r>
    </w:p>
    <w:p>
      <w:pPr>
        <w:pStyle w:val="FirstParagraph"/>
      </w:pPr>
      <w:r>
        <w:t xml:space="preserve">Cet axe concerne le statut de la grandeur dans un système d’unités.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Niveau</w:t>
            </w:r>
          </w:p>
        </w:tc>
        <w:tc>
          <w:tcPr/>
          <w:p>
            <w:pPr>
              <w:pStyle w:val="Compact"/>
            </w:pPr>
            <w:r>
              <w:t xml:space="preserve">Statut</w:t>
            </w:r>
          </w:p>
        </w:tc>
      </w:tr>
      <w:tr>
        <w:tc>
          <w:tcPr/>
          <w:p>
            <w:pPr>
              <w:pStyle w:val="Compact"/>
            </w:pPr>
            <w:r>
              <w:t xml:space="preserve">Définissante primaire</w:t>
            </w:r>
          </w:p>
        </w:tc>
        <w:tc>
          <w:tcPr/>
          <w:p>
            <w:pPr>
              <w:pStyle w:val="Compact"/>
            </w:pPr>
            <w:r>
              <w:t xml:space="preserve">Valeur exacte fixée pour définir une unité</w:t>
            </w:r>
          </w:p>
        </w:tc>
      </w:tr>
      <w:tr>
        <w:tc>
          <w:tcPr/>
          <w:p>
            <w:pPr>
              <w:pStyle w:val="Compact"/>
            </w:pPr>
            <w:r>
              <w:t xml:space="preserve">Exacte par composition</w:t>
            </w:r>
          </w:p>
        </w:tc>
        <w:tc>
          <w:tcPr/>
          <w:p>
            <w:pPr>
              <w:pStyle w:val="Compact"/>
            </w:pPr>
            <w:r>
              <w:t xml:space="preserve">Valeur exacte dérivée de constantes définissantes</w:t>
            </w:r>
          </w:p>
        </w:tc>
      </w:tr>
      <w:tr>
        <w:tc>
          <w:tcPr/>
          <w:p>
            <w:pPr>
              <w:pStyle w:val="Compact"/>
            </w:pPr>
            <w:r>
              <w:t xml:space="preserve">Mesurée dans le système</w:t>
            </w:r>
          </w:p>
        </w:tc>
        <w:tc>
          <w:tcPr/>
          <w:p>
            <w:pPr>
              <w:pStyle w:val="Compact"/>
            </w:pPr>
            <w:r>
              <w:t xml:space="preserve">Valeur mesurée dans les unités déjà définies</w:t>
            </w:r>
          </w:p>
        </w:tc>
      </w:tr>
      <w:tr>
        <w:tc>
          <w:tcPr/>
          <w:p>
            <w:pPr>
              <w:pStyle w:val="Compact"/>
            </w:pPr>
            <w:r>
              <w:t xml:space="preserve">Non concernée</w:t>
            </w:r>
          </w:p>
        </w:tc>
        <w:tc>
          <w:tcPr/>
          <w:p>
            <w:pPr>
              <w:pStyle w:val="Compact"/>
            </w:pPr>
            <w:r>
              <w:t xml:space="preserve">Pas de rôle métrologique définissant</w:t>
            </w:r>
          </w:p>
        </w:tc>
      </w:tr>
    </w:tbl>
    <w:p>
      <w:pPr>
        <w:pStyle w:val="BodyText"/>
      </w:pPr>
      <w:r>
        <w:t xml:space="preserve">Cette bifurcation corrige la fragilité principale de la méthode v0.1.</w:t>
      </w:r>
    </w:p>
    <w:bookmarkEnd w:id="29"/>
    <w:bookmarkEnd w:id="30"/>
    <w:bookmarkStart w:id="31" w:name="révision-du-mot-régime"/>
    <w:p>
      <w:pPr>
        <w:pStyle w:val="Heading2"/>
      </w:pPr>
      <w:r>
        <w:t xml:space="preserve">9. Révision du mot</w:t>
      </w:r>
      <w:r>
        <w:t xml:space="preserve"> </w:t>
      </w:r>
      <w:r>
        <w:t xml:space="preserve">“régime”</w:t>
      </w:r>
    </w:p>
    <w:p>
      <w:pPr>
        <w:pStyle w:val="FirstParagraph"/>
      </w:pPr>
      <w:r>
        <w:t xml:space="preserve">Le quatrième cycle confirme aussi la nécessité de distinguer deux types de régimes.</w:t>
      </w:r>
    </w:p>
    <w:p>
      <w:pPr>
        <w:pStyle w:val="BodyText"/>
      </w:pPr>
      <w:r>
        <w:t xml:space="preserve">Le régime de définition physique indique le domaine où la grandeur joue un rôle physique.</w:t>
      </w:r>
    </w:p>
    <w:p>
      <w:pPr>
        <w:pStyle w:val="BodyText"/>
      </w:pPr>
      <w:r>
        <w:t xml:space="preserve">Pour (k_B) :</w:t>
      </w:r>
    </w:p>
    <w:p>
      <w:pPr>
        <w:pStyle w:val="BodyText"/>
      </w:pPr>
      <w:r>
        <w:t xml:space="preserve">[</w:t>
      </w:r>
      <w:r>
        <w:t xml:space="preserve"> </w:t>
      </w:r>
      <w:r>
        <w:t xml:space="preserve"> </w:t>
      </w:r>
      <w:r>
        <w:t xml:space="preserve">]</w:t>
      </w:r>
    </w:p>
    <w:p>
      <w:pPr>
        <w:pStyle w:val="BodyText"/>
      </w:pPr>
      <w:r>
        <w:t xml:space="preserve">Pour (N_A) :</w:t>
      </w:r>
    </w:p>
    <w:p>
      <w:pPr>
        <w:pStyle w:val="BodyText"/>
      </w:pPr>
      <w:r>
        <w:t xml:space="preserve">[</w:t>
      </w:r>
      <w:r>
        <w:t xml:space="preserve"> </w:t>
      </w:r>
      <w:r>
        <w:t xml:space="preserve"> </w:t>
      </w:r>
      <w:r>
        <w:t xml:space="preserve">]</w:t>
      </w:r>
    </w:p>
    <w:p>
      <w:pPr>
        <w:pStyle w:val="BodyText"/>
      </w:pPr>
      <w:r>
        <w:t xml:space="preserve">Pour (R) :</w:t>
      </w:r>
    </w:p>
    <w:p>
      <w:pPr>
        <w:pStyle w:val="BodyText"/>
      </w:pPr>
      <w:r>
        <w:t xml:space="preserve">[</w:t>
      </w:r>
      <w:r>
        <w:t xml:space="preserve"> </w:t>
      </w:r>
      <w:r>
        <w:t xml:space="preserve"> </w:t>
      </w:r>
      <w:r>
        <w:t xml:space="preserve">]</w:t>
      </w:r>
    </w:p>
    <w:p>
      <w:pPr>
        <w:pStyle w:val="BodyText"/>
      </w:pPr>
      <w:r>
        <w:t xml:space="preserve">Le régime d’accès épistémique indique la procédure par laquelle la valeur numérique est fixée ou rendue comparable.</w:t>
      </w:r>
    </w:p>
    <w:p>
      <w:pPr>
        <w:pStyle w:val="BodyText"/>
      </w:pPr>
      <w:r>
        <w:t xml:space="preserve">Pour (k_B) et (N_A) :</w:t>
      </w:r>
    </w:p>
    <w:p>
      <w:pPr>
        <w:pStyle w:val="BodyText"/>
      </w:pPr>
      <w:r>
        <w:t xml:space="preserve">[</w:t>
      </w:r>
      <w:r>
        <w:t xml:space="preserve"> </w:t>
      </w:r>
      <w:r>
        <w:t xml:space="preserve"> </w:t>
      </w:r>
      <w:r>
        <w:t xml:space="preserve">]</w:t>
      </w:r>
    </w:p>
    <w:p>
      <w:pPr>
        <w:pStyle w:val="BodyText"/>
      </w:pPr>
      <w:r>
        <w:t xml:space="preserve">Pour (R) :</w:t>
      </w:r>
    </w:p>
    <w:p>
      <w:pPr>
        <w:pStyle w:val="BodyText"/>
      </w:pPr>
      <w:r>
        <w:t xml:space="preserve">[</w:t>
      </w:r>
      <w:r>
        <w:t xml:space="preserve"> </w:t>
      </w:r>
      <w:r>
        <w:t xml:space="preserve"> </w:t>
      </w:r>
      <w:r>
        <w:t xml:space="preserve">]</w:t>
      </w:r>
    </w:p>
    <w:p>
      <w:pPr>
        <w:pStyle w:val="BodyText"/>
      </w:pPr>
      <w:r>
        <w:t xml:space="preserve">La distinction est désormais obligatoire. Sans elle, on confondrait fonction physique et convention métrologique.</w:t>
      </w:r>
    </w:p>
    <w:bookmarkEnd w:id="31"/>
    <w:bookmarkStart w:id="32" w:name="compression-taxonomique-obtenue"/>
    <w:p>
      <w:pPr>
        <w:pStyle w:val="Heading2"/>
      </w:pPr>
      <w:r>
        <w:t xml:space="preserve">10. Compression taxonomique obtenue</w:t>
      </w:r>
    </w:p>
    <w:p>
      <w:pPr>
        <w:pStyle w:val="FirstParagraph"/>
      </w:pPr>
      <w:r>
        <w:t xml:space="preserve">Le cycle 4 réussit le test de compression.</w:t>
      </w:r>
    </w:p>
    <w:p>
      <w:pPr>
        <w:pStyle w:val="BodyText"/>
      </w:pPr>
      <w:r>
        <w:t xml:space="preserve">Trois grandeurs différentes sont classées sans multiplier inutilement les catégories :</w:t>
      </w:r>
    </w:p>
    <w:p>
      <w:pPr>
        <w:pStyle w:val="BodyText"/>
      </w:pPr>
      <w:r>
        <w:t xml:space="preserve">[</w:t>
      </w:r>
      <w:r>
        <w:t xml:space="preserve"> </w:t>
      </w:r>
      <w:r>
        <w:t xml:space="preserve">k_B</w:t>
      </w:r>
      <w:r>
        <w:t xml:space="preserve"> </w:t>
      </w:r>
      <w:r>
        <w:t xml:space="preserve">]</w:t>
      </w:r>
    </w:p>
    <w:p>
      <w:pPr>
        <w:pStyle w:val="BodyText"/>
      </w:pPr>
      <w:r>
        <w:t xml:space="preserve">[</w:t>
      </w:r>
      <w:r>
        <w:t xml:space="preserve"> </w:t>
      </w:r>
      <w:r>
        <w:t xml:space="preserve">N_A</w:t>
      </w:r>
      <w:r>
        <w:t xml:space="preserve"> </w:t>
      </w:r>
      <w:r>
        <w:t xml:space="preserve">]</w:t>
      </w:r>
    </w:p>
    <w:p>
      <w:pPr>
        <w:pStyle w:val="BodyText"/>
      </w:pPr>
      <w:r>
        <w:t xml:space="preserve">[</w:t>
      </w:r>
      <w:r>
        <w:t xml:space="preserve"> </w:t>
      </w:r>
      <w:r>
        <w:t xml:space="preserve">R</w:t>
      </w:r>
      <w:r>
        <w:t xml:space="preserve"> </w:t>
      </w:r>
      <w:r>
        <w:t xml:space="preserve">]</w:t>
      </w:r>
    </w:p>
    <w:p>
      <w:pPr>
        <w:pStyle w:val="BodyText"/>
      </w:pPr>
      <w:r>
        <w:t xml:space="preserve">Elles appartiennent toutes à la grande famille :</w:t>
      </w:r>
    </w:p>
    <w:p>
      <w:pPr>
        <w:pStyle w:val="BodyText"/>
      </w:pPr>
      <w:r>
        <w:t xml:space="preserve">[</w:t>
      </w:r>
      <w:r>
        <w:t xml:space="preserve"> </w:t>
      </w:r>
      <w:r>
        <w:t xml:space="preserve"> </w:t>
      </w:r>
      <w:r>
        <w:t xml:space="preserve">]</w:t>
      </w:r>
    </w:p>
    <w:p>
      <w:pPr>
        <w:pStyle w:val="BodyText"/>
      </w:pPr>
      <w:r>
        <w:t xml:space="preserve">Mais elles se distribuent selon des sous-types :</w:t>
      </w:r>
    </w:p>
    <w:p>
      <w:pPr>
        <w:pStyle w:val="BodyText"/>
      </w:pPr>
      <w:r>
        <w:t xml:space="preserve">[</w:t>
      </w:r>
      <w:r>
        <w:t xml:space="preserve"> </w:t>
      </w:r>
      <w:r>
        <w:t xml:space="preserve">k_B, N_A</w:t>
      </w:r>
      <w:r>
        <w:t xml:space="preserve"> </w:t>
      </w:r>
      <w:r>
        <w:t xml:space="preserve">]</w:t>
      </w:r>
    </w:p>
    <w:p>
      <w:pPr>
        <w:pStyle w:val="BodyText"/>
      </w:pPr>
      <w:r>
        <w:t xml:space="preserve">comme constantes définissantes primaires,</w:t>
      </w:r>
    </w:p>
    <w:p>
      <w:pPr>
        <w:pStyle w:val="BodyText"/>
      </w:pPr>
      <w:r>
        <w:t xml:space="preserve">[</w:t>
      </w:r>
      <w:r>
        <w:t xml:space="preserve"> </w:t>
      </w:r>
      <w:r>
        <w:t xml:space="preserve">R</w:t>
      </w:r>
      <w:r>
        <w:t xml:space="preserve"> </w:t>
      </w:r>
      <w:r>
        <w:t xml:space="preserve">]</w:t>
      </w:r>
    </w:p>
    <w:p>
      <w:pPr>
        <w:pStyle w:val="BodyText"/>
      </w:pPr>
      <w:r>
        <w:t xml:space="preserve">comme constante exacte par composition.</w:t>
      </w:r>
    </w:p>
    <w:p>
      <w:pPr>
        <w:pStyle w:val="BodyText"/>
      </w:pPr>
      <w:r>
        <w:t xml:space="preserve">Elles se distinguent ensuite par leur fonction physique :</w:t>
      </w:r>
    </w:p>
    <w:p>
      <w:pPr>
        <w:pStyle w:val="BodyText"/>
      </w:pPr>
      <w:r>
        <w:t xml:space="preserve">[</w:t>
      </w:r>
      <w:r>
        <w:t xml:space="preserve"> </w:t>
      </w:r>
      <w:r>
        <w:t xml:space="preserve">k_B</w:t>
      </w:r>
      <w:r>
        <w:t xml:space="preserve"> </w:t>
      </w:r>
      <w:r>
        <w:t xml:space="preserve">]</w:t>
      </w:r>
    </w:p>
    <w:p>
      <w:pPr>
        <w:pStyle w:val="BodyText"/>
      </w:pPr>
      <w:r>
        <w:t xml:space="preserve">température/énergie,</w:t>
      </w:r>
    </w:p>
    <w:p>
      <w:pPr>
        <w:pStyle w:val="BodyText"/>
      </w:pPr>
      <w:r>
        <w:t xml:space="preserve">[</w:t>
      </w:r>
      <w:r>
        <w:t xml:space="preserve"> </w:t>
      </w:r>
      <w:r>
        <w:t xml:space="preserve">N_A</w:t>
      </w:r>
      <w:r>
        <w:t xml:space="preserve"> </w:t>
      </w:r>
      <w:r>
        <w:t xml:space="preserve">]</w:t>
      </w:r>
    </w:p>
    <w:p>
      <w:pPr>
        <w:pStyle w:val="BodyText"/>
      </w:pPr>
      <w:r>
        <w:t xml:space="preserve">comptage/mole,</w:t>
      </w:r>
    </w:p>
    <w:p>
      <w:pPr>
        <w:pStyle w:val="BodyText"/>
      </w:pPr>
      <w:r>
        <w:t xml:space="preserve">[</w:t>
      </w:r>
      <w:r>
        <w:t xml:space="preserve"> </w:t>
      </w:r>
      <w:r>
        <w:t xml:space="preserve">R</w:t>
      </w:r>
      <w:r>
        <w:t xml:space="preserve"> </w:t>
      </w:r>
      <w:r>
        <w:t xml:space="preserve">]</w:t>
      </w:r>
    </w:p>
    <w:p>
      <w:pPr>
        <w:pStyle w:val="BodyText"/>
      </w:pPr>
      <w:r>
        <w:t xml:space="preserve">énergie/température/quantité de matière en version molaire.</w:t>
      </w:r>
    </w:p>
    <w:p>
      <w:pPr>
        <w:pStyle w:val="BodyText"/>
      </w:pPr>
      <w:r>
        <w:t xml:space="preserve">La typologie commence donc à classer plutôt qu’à seulement redécrire.</w:t>
      </w:r>
    </w:p>
    <w:bookmarkEnd w:id="32"/>
    <w:bookmarkStart w:id="33" w:name="X34da06a08c427545efb44df8e6d985cc8fff612"/>
    <w:p>
      <w:pPr>
        <w:pStyle w:val="Heading2"/>
      </w:pPr>
      <w:r>
        <w:t xml:space="preserve">11. Définition enrichie après le quatrième cycle</w:t>
      </w:r>
    </w:p>
    <w:p>
      <w:pPr>
        <w:pStyle w:val="FirstParagraph"/>
      </w:pPr>
      <w:r>
        <w:t xml:space="preserve">La définition des constantes effectives stabilisées doit être enrichie ainsi :</w:t>
      </w:r>
    </w:p>
    <w:p>
      <w:pPr>
        <w:pStyle w:val="BodyText"/>
      </w:pPr>
      <w:r>
        <w:rPr>
          <w:b/>
          <w:bCs/>
        </w:rPr>
        <w:t xml:space="preserve">Une constante effective stabilisée est une grandeur dont la valeur, l’écart, le rapport, la relation, la phase ou la fonction devient robuste dans un régime physique déterminé, mais dont le mode de stabilisation peut être empirique, théorique, effectif, observationnel ou conventionnel.</w:t>
      </w:r>
    </w:p>
    <w:p>
      <w:pPr>
        <w:pStyle w:val="BodyText"/>
      </w:pPr>
      <w:r>
        <w:t xml:space="preserve">Cette définition évite une confusion importante : la stabilité d’une constante ne vient pas toujours du même lieu.</w:t>
      </w:r>
    </w:p>
    <w:p>
      <w:pPr>
        <w:pStyle w:val="BodyText"/>
      </w:pPr>
      <w:r>
        <w:t xml:space="preserve">Elle peut venir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 cycle 4 ajoute donc la stabilisation conventionnelle à la carte générale.</w:t>
      </w:r>
    </w:p>
    <w:bookmarkEnd w:id="33"/>
    <w:bookmarkStart w:id="34" w:name="nouvelle-règle-méthodologique"/>
    <w:p>
      <w:pPr>
        <w:pStyle w:val="Heading2"/>
      </w:pPr>
      <w:r>
        <w:t xml:space="preserve">12. Nouvelle règle méthodologique</w:t>
      </w:r>
    </w:p>
    <w:p>
      <w:pPr>
        <w:pStyle w:val="FirstParagraph"/>
      </w:pPr>
      <w:r>
        <w:t xml:space="preserve">Après le quatrième cycle, chaque fiche devra répondre explicitement à deux questions séparées.</w:t>
      </w:r>
    </w:p>
    <w:p>
      <w:pPr>
        <w:pStyle w:val="BodyText"/>
      </w:pPr>
      <w:r>
        <w:t xml:space="preserve">Première question :</w:t>
      </w:r>
    </w:p>
    <w:p>
      <w:pPr>
        <w:pStyle w:val="BodyText"/>
      </w:pPr>
      <w:r>
        <w:t xml:space="preserve">[</w:t>
      </w:r>
      <w:r>
        <w:t xml:space="preserve"> </w:t>
      </w:r>
      <w:r>
        <w:t xml:space="preserve"> </w:t>
      </w:r>
      <w:r>
        <w:t xml:space="preserve">]</w:t>
      </w:r>
    </w:p>
    <w:p>
      <w:pPr>
        <w:pStyle w:val="BodyText"/>
      </w:pPr>
      <w:r>
        <w:t xml:space="preserve">Deuxième question :</w:t>
      </w:r>
    </w:p>
    <w:p>
      <w:pPr>
        <w:pStyle w:val="BodyText"/>
      </w:pPr>
      <w:r>
        <w:t xml:space="preserve">[</w:t>
      </w:r>
      <w:r>
        <w:t xml:space="preserve"> </w:t>
      </w:r>
      <w:r>
        <w:t xml:space="preserve"> </w:t>
      </w:r>
      <w:r>
        <w:t xml:space="preserve">]</w:t>
      </w:r>
    </w:p>
    <w:p>
      <w:pPr>
        <w:pStyle w:val="BodyText"/>
      </w:pPr>
      <w:r>
        <w:t xml:space="preserve">Ces deux questions ne doivent plus être fusionnées.</w:t>
      </w:r>
    </w:p>
    <w:p>
      <w:pPr>
        <w:pStyle w:val="BodyText"/>
      </w:pPr>
      <w:r>
        <w:t xml:space="preserve">Pour (k_B), la première réponse est : passage température/énergie. La seconde est : valeur exacte définissante du kelvin dans le SI.</w:t>
      </w:r>
    </w:p>
    <w:p>
      <w:pPr>
        <w:pStyle w:val="BodyText"/>
      </w:pPr>
      <w:r>
        <w:t xml:space="preserve">Pour (N_A), la première réponse est : passage nombre d’entités/quantité de matière. La seconde est : valeur exacte définissante de la mole dans le SI.</w:t>
      </w:r>
    </w:p>
    <w:p>
      <w:pPr>
        <w:pStyle w:val="BodyText"/>
      </w:pPr>
      <w:r>
        <w:t xml:space="preserve">Pour (R), la première réponse est : constante molaire de passage thermodynamique. La seconde est : exactitude dérivée par composition.</w:t>
      </w:r>
    </w:p>
    <w:bookmarkEnd w:id="34"/>
    <w:bookmarkStart w:id="35" w:name="formule-de-travail-après-cycle-4"/>
    <w:p>
      <w:pPr>
        <w:pStyle w:val="Heading2"/>
      </w:pPr>
      <w:r>
        <w:t xml:space="preserve">13. Formule de travail après cycle 4</w:t>
      </w:r>
    </w:p>
    <w:p>
      <w:pPr>
        <w:pStyle w:val="FirstParagraph"/>
      </w:pPr>
      <w:r>
        <w:t xml:space="preserve">La formule issue du quatrième cycle est :</w:t>
      </w:r>
    </w:p>
    <w:p>
      <w:pPr>
        <w:pStyle w:val="BodyText"/>
      </w:pPr>
      <w:r>
        <w:rPr>
          <w:b/>
          <w:bCs/>
        </w:rPr>
        <w:t xml:space="preserve">Une constante peut être physiquement opératoire sans que sa valeur numérique actuelle soit le résultat d’une mesure actuelle ; elle peut être stabilisée par l’architecture même du système d’unités.</w:t>
      </w:r>
    </w:p>
    <w:p>
      <w:pPr>
        <w:pStyle w:val="BodyText"/>
      </w:pPr>
      <w:r>
        <w:t xml:space="preserve">Cette formule est capitale pour la suite, parce qu’elle empêche de traiter toutes les constantes exactes comme des constantes empiriquement mieux établies que les autres.</w:t>
      </w:r>
    </w:p>
    <w:bookmarkEnd w:id="35"/>
    <w:bookmarkStart w:id="36" w:name="conséquence-pour-la-carte-consolidée"/>
    <w:p>
      <w:pPr>
        <w:pStyle w:val="Heading2"/>
      </w:pPr>
      <w:r>
        <w:t xml:space="preserve">14. Conséquence pour la carte consolidée</w:t>
      </w:r>
    </w:p>
    <w:p>
      <w:pPr>
        <w:pStyle w:val="FirstParagraph"/>
      </w:pPr>
      <w:r>
        <w:t xml:space="preserve">La prochaine carte consolidée devra intégrer une nouvelle famille :</w:t>
      </w:r>
    </w:p>
    <w:p>
      <w:pPr>
        <w:pStyle w:val="BodyText"/>
      </w:pPr>
      <w:r>
        <w:t xml:space="preserve">[</w:t>
      </w:r>
      <w:r>
        <w:t xml:space="preserve"> </w:t>
      </w:r>
      <w:r>
        <w:t xml:space="preserve"> </w:t>
      </w:r>
      <w:r>
        <w:t xml:space="preserve">]</w:t>
      </w:r>
    </w:p>
    <w:p>
      <w:pPr>
        <w:pStyle w:val="BodyText"/>
      </w:pPr>
      <w:r>
        <w:t xml:space="preserve">avec au moins deux sous-types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Elle devra aussi remplacer l’ancien axe unique de stabilisation par une double entrée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Enfin, elle devra rétrograder certaines catégories trop locales en sous-types. Le cycle 4 montre que cette compression est possible.</w:t>
      </w:r>
    </w:p>
    <w:bookmarkEnd w:id="36"/>
    <w:bookmarkStart w:id="37" w:name="prochaine-étape"/>
    <w:p>
      <w:pPr>
        <w:pStyle w:val="Heading2"/>
      </w:pPr>
      <w:r>
        <w:t xml:space="preserve">15. Prochaine étape</w:t>
      </w:r>
    </w:p>
    <w:p>
      <w:pPr>
        <w:pStyle w:val="FirstParagraph"/>
      </w:pPr>
      <w:r>
        <w:t xml:space="preserve">La prochaine étape logique est :</w:t>
      </w:r>
    </w:p>
    <w:p>
      <w:pPr>
        <w:pStyle w:val="BodyText"/>
      </w:pPr>
      <w:r>
        <w:rPr>
          <w:b/>
          <w:bCs/>
        </w:rPr>
        <w:t xml:space="preserve">Carte consolidée v0.3 — intégration du cycle thermodynamique et métrologique</w:t>
      </w:r>
    </w:p>
    <w:p>
      <w:pPr>
        <w:pStyle w:val="BodyText"/>
      </w:pPr>
      <w:r>
        <w:t xml:space="preserve">Cette carte devra intégrer :</w:t>
      </w:r>
    </w:p>
    <w:p>
      <w:pPr>
        <w:pStyle w:val="BodyText"/>
      </w:pPr>
      <w:r>
        <w:t xml:space="preserve">[</w:t>
      </w:r>
      <w:r>
        <w:t xml:space="preserve"> </w:t>
      </w:r>
      <w:r>
        <w:t xml:space="preserve">k_B</w:t>
      </w:r>
      <w:r>
        <w:t xml:space="preserve"> </w:t>
      </w:r>
      <w:r>
        <w:t xml:space="preserve">]</w:t>
      </w:r>
    </w:p>
    <w:p>
      <w:pPr>
        <w:pStyle w:val="BodyText"/>
      </w:pPr>
      <w:r>
        <w:t xml:space="preserve">[</w:t>
      </w:r>
      <w:r>
        <w:t xml:space="preserve"> </w:t>
      </w:r>
      <w:r>
        <w:t xml:space="preserve">N_A</w:t>
      </w:r>
      <w:r>
        <w:t xml:space="preserve"> </w:t>
      </w:r>
      <w:r>
        <w:t xml:space="preserve">]</w:t>
      </w:r>
    </w:p>
    <w:p>
      <w:pPr>
        <w:pStyle w:val="BodyText"/>
      </w:pPr>
      <w:r>
        <w:t xml:space="preserve">[</w:t>
      </w:r>
      <w:r>
        <w:t xml:space="preserve"> </w:t>
      </w:r>
      <w:r>
        <w:t xml:space="preserve">R</w:t>
      </w:r>
      <w:r>
        <w:t xml:space="preserve"> </w:t>
      </w:r>
      <w:r>
        <w:t xml:space="preserve">]</w:t>
      </w:r>
    </w:p>
    <w:p>
      <w:pPr>
        <w:pStyle w:val="BodyText"/>
      </w:pPr>
      <w:r>
        <w:t xml:space="preserve">mais surtout les révisions méthodologiques imposées par le cycle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réussite de cette carte v0.3 ne dépendra pas seulement de l’ajout de trois lignes. Elle dépendra de la capacité de la taxonomie à devenir plus compacte.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2026-07-09T06:27:23Z</dcterms:created>
  <dcterms:modified xsi:type="dcterms:W3CDTF">2026-07-09T06:27:23Z</dcterms:modified>
</cp:coreProperties>
</file>

<file path=docProps/custom.xml><?xml version="1.0" encoding="utf-8"?>
<Properties xmlns="http://schemas.openxmlformats.org/officeDocument/2006/custom-properties" xmlns:vt="http://schemas.openxmlformats.org/officeDocument/2006/docPropsVTypes"/>
</file>