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test-de-la-famille-fond-v0.1"/>
    <w:p>
      <w:pPr>
        <w:pStyle w:val="Heading1"/>
      </w:pPr>
      <w:r>
        <w:t xml:space="preserve">Test de la famille Fond v0.1</w:t>
      </w:r>
    </w:p>
    <w:bookmarkStart w:id="20" w:name="X41ebdb8d8b3cc0b52d066bcf47df3271143fb75"/>
    <w:p>
      <w:pPr>
        <w:pStyle w:val="Heading2"/>
      </w:pPr>
      <w:r>
        <w:t xml:space="preserve">(</w:t>
      </w:r>
      <w:r>
        <w:t xml:space="preserve">), paramètres cosmologiques et architecture de fond</w:t>
      </w:r>
    </w:p>
    <w:bookmarkEnd w:id="20"/>
    <w:bookmarkStart w:id="21" w:name="fonction-du-test"/>
    <w:p>
      <w:pPr>
        <w:pStyle w:val="Heading2"/>
      </w:pPr>
      <w:r>
        <w:t xml:space="preserve">1. Fonction du test</w:t>
      </w:r>
    </w:p>
    <w:p>
      <w:pPr>
        <w:pStyle w:val="FirstParagraph"/>
      </w:pPr>
      <w:r>
        <w:t xml:space="preserve">La famille</w:t>
      </w:r>
      <w:r>
        <w:t xml:space="preserve"> </w:t>
      </w:r>
      <w:r>
        <w:rPr>
          <w:b/>
          <w:bCs/>
        </w:rPr>
        <w:t xml:space="preserve">Fond</w:t>
      </w:r>
      <w:r>
        <w:t xml:space="preserve"> </w:t>
      </w:r>
      <w:r>
        <w:t xml:space="preserve">est la dernière famille fragile forte de la carte.</w:t>
      </w:r>
    </w:p>
    <w:p>
      <w:pPr>
        <w:pStyle w:val="BodyText"/>
      </w:pPr>
      <w:r>
        <w:t xml:space="preserve">Elle est actuellement portée principalement par :</w:t>
      </w:r>
    </w:p>
    <w:p>
      <w:pPr>
        <w:pStyle w:val="BodyText"/>
      </w:pPr>
      <w:r>
        <w:t xml:space="preserve">[</w:t>
      </w:r>
      <w:r>
        <w:t xml:space="preserve"> </w:t>
      </w:r>
      <w:r>
        <w:t xml:space="preserve"> </w:t>
      </w:r>
      <w:r>
        <w:t xml:space="preserve">]</w:t>
      </w:r>
    </w:p>
    <w:p>
      <w:pPr>
        <w:pStyle w:val="BodyText"/>
      </w:pPr>
      <w:r>
        <w:t xml:space="preserve">la constante cosmologique.</w:t>
      </w:r>
    </w:p>
    <w:p>
      <w:pPr>
        <w:pStyle w:val="BodyText"/>
      </w:pPr>
      <w:r>
        <w:t xml:space="preserve">Le problème est simple : une famille portée par un seul cas peut être légitime, mais elle doit rester suspecte. Elle peut désigner une fonction réellement distincte, ou seulement protéger un cas difficile.</w:t>
      </w:r>
    </w:p>
    <w:p>
      <w:pPr>
        <w:pStyle w:val="BodyText"/>
      </w:pPr>
      <w:r>
        <w:t xml:space="preserve">Le test consiste donc à demander :</w:t>
      </w:r>
    </w:p>
    <w:p>
      <w:pPr>
        <w:pStyle w:val="BodyText"/>
      </w:pPr>
      <w:r>
        <w:t xml:space="preserve">[</w:t>
      </w:r>
      <w:r>
        <w:t xml:space="preserve"> </w:t>
      </w:r>
      <w:r>
        <w:t xml:space="preserve"> </w:t>
      </w:r>
      <w:r>
        <w:t xml:space="preserve">]</w:t>
      </w:r>
    </w:p>
    <w:p>
      <w:pPr>
        <w:pStyle w:val="BodyText"/>
      </w:pPr>
      <w:r>
        <w:t xml:space="preserve">ou bien :</w:t>
      </w:r>
    </w:p>
    <w:p>
      <w:pPr>
        <w:pStyle w:val="BodyText"/>
      </w:pPr>
      <w:r>
        <w:t xml:space="preserve">[</w:t>
      </w:r>
      <w:r>
        <w:t xml:space="preserve"> </w:t>
      </w:r>
      <w:r>
        <w:t xml:space="preserve"> </w:t>
      </w:r>
      <w:r>
        <w:t xml:space="preserve">]</w:t>
      </w:r>
    </w:p>
    <w:p>
      <w:pPr>
        <w:pStyle w:val="BodyText"/>
      </w:pPr>
      <w:r>
        <w:t xml:space="preserve">La difficulté est plus grande que pour</w:t>
      </w:r>
      <w:r>
        <w:t xml:space="preserve"> </w:t>
      </w:r>
      <w:r>
        <w:rPr>
          <w:b/>
          <w:bCs/>
        </w:rPr>
        <w:t xml:space="preserve">Seuil</w:t>
      </w:r>
      <w:r>
        <w:t xml:space="preserve">, car le domaine cosmologique mélange plusieurs types d’objets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Il faut donc éviter de transformer</w:t>
      </w:r>
      <w:r>
        <w:t xml:space="preserve"> </w:t>
      </w:r>
      <w:r>
        <w:t xml:space="preserve">“cosmologie”</w:t>
      </w:r>
      <w:r>
        <w:t xml:space="preserve"> </w:t>
      </w:r>
      <w:r>
        <w:t xml:space="preserve">en famille fourre-tout.</w:t>
      </w:r>
    </w:p>
    <w:bookmarkEnd w:id="21"/>
    <w:bookmarkStart w:id="22" w:name="critère-de-décision"/>
    <w:p>
      <w:pPr>
        <w:pStyle w:val="Heading2"/>
      </w:pPr>
      <w:r>
        <w:t xml:space="preserve">2. Critère de décision</w:t>
      </w:r>
    </w:p>
    <w:p>
      <w:pPr>
        <w:pStyle w:val="FirstParagraph"/>
      </w:pPr>
      <w:r>
        <w:t xml:space="preserve">Une famille</w:t>
      </w:r>
      <w:r>
        <w:t xml:space="preserve"> </w:t>
      </w:r>
      <w:r>
        <w:rPr>
          <w:b/>
          <w:bCs/>
        </w:rPr>
        <w:t xml:space="preserve">Fond</w:t>
      </w:r>
      <w:r>
        <w:t xml:space="preserve"> </w:t>
      </w:r>
      <w:r>
        <w:t xml:space="preserve">serait justifiée si plusieurs grandeurs hétérogènes partageaient la même fonction principale :</w:t>
      </w:r>
    </w:p>
    <w:p>
      <w:pPr>
        <w:pStyle w:val="BodyText"/>
      </w:pPr>
      <w:r>
        <w:t xml:space="preserve">[</w:t>
      </w:r>
      <w:r>
        <w:t xml:space="preserve"> </w:t>
      </w:r>
      <w:r>
        <w:t xml:space="preserve"> </w:t>
      </w:r>
      <w:r>
        <w:t xml:space="preserve">]</w:t>
      </w:r>
    </w:p>
    <w:p>
      <w:pPr>
        <w:pStyle w:val="BodyText"/>
      </w:pPr>
      <w:r>
        <w:t xml:space="preserve">Elle ne serait pas justifiée si les autres candidats se révélaient être plutôt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Dans ce second cas,</w:t>
      </w:r>
      <w:r>
        <w:t xml:space="preserve"> </w:t>
      </w:r>
      <w:r>
        <w:rPr>
          <w:b/>
          <w:bCs/>
        </w:rPr>
        <w:t xml:space="preserve">Fond</w:t>
      </w:r>
      <w:r>
        <w:t xml:space="preserve"> </w:t>
      </w:r>
      <w:r>
        <w:t xml:space="preserve">ne devrait plus être une famille supérieure. Il deviendrait un rôle architectural dans une configuration plus large :</w:t>
      </w:r>
    </w:p>
    <w:p>
      <w:pPr>
        <w:pStyle w:val="BodyText"/>
      </w:pPr>
      <w:r>
        <w:t xml:space="preserve">[</w:t>
      </w:r>
      <w:r>
        <w:t xml:space="preserve"> </w:t>
      </w:r>
      <w:r>
        <w:t xml:space="preserve"> </w:t>
      </w:r>
      <w:r>
        <w:t xml:space="preserve">]</w:t>
      </w:r>
    </w:p>
    <w:p>
      <w:pPr>
        <w:pStyle w:val="BodyText"/>
      </w:pPr>
      <w:r>
        <w:t xml:space="preserve">Le test porte donc sur :</w:t>
      </w:r>
    </w:p>
    <w:p>
      <w:pPr>
        <w:pStyle w:val="BodyText"/>
      </w:pPr>
      <w:r>
        <w:t xml:space="preserve">[</w:t>
      </w:r>
      <w:r>
        <w:t xml:space="preserve"> </w:t>
      </w:r>
      <w:r>
        <w:t xml:space="preserve"> </w:t>
      </w:r>
      <w:r>
        <w:t xml:space="preserve">]</w:t>
      </w:r>
    </w:p>
    <w:p>
      <w:pPr>
        <w:pStyle w:val="BodyText"/>
      </w:pPr>
      <w:r>
        <w:t xml:space="preserve">[</w:t>
      </w:r>
      <w:r>
        <w:t xml:space="preserve"> </w:t>
      </w:r>
      <w:r>
        <w:t xml:space="preserve">H_0</w:t>
      </w:r>
      <w:r>
        <w:t xml:space="preserve"> </w:t>
      </w:r>
      <w:r>
        <w:t xml:space="preserve">]</w:t>
      </w:r>
    </w:p>
    <w:p>
      <w:pPr>
        <w:pStyle w:val="BodyText"/>
      </w:pPr>
      <w:r>
        <w:t xml:space="preserve">[</w:t>
      </w:r>
      <w:r>
        <w:t xml:space="preserve"> </w:t>
      </w:r>
      <w:r>
        <w:rPr>
          <w:i/>
          <w:iCs/>
        </w:rPr>
        <w:t xml:space="preserve">m,</w:t>
      </w:r>
      <w:r>
        <w:t xml:space="preserve"> </w:t>
      </w:r>
      <w:r>
        <w:t xml:space="preserve">]</w:t>
      </w:r>
    </w:p>
    <w:p>
      <w:pPr>
        <w:pStyle w:val="BodyText"/>
      </w:pPr>
      <w:r>
        <w:t xml:space="preserve">[</w:t>
      </w:r>
      <w:r>
        <w:t xml:space="preserve"> </w:t>
      </w:r>
      <w:r>
        <w:t xml:space="preserve">w</w:t>
      </w:r>
      <w:r>
        <w:t xml:space="preserve"> </w:t>
      </w:r>
      <w:r>
        <w:t xml:space="preserve">]</w:t>
      </w:r>
    </w:p>
    <w:p>
      <w:pPr>
        <w:pStyle w:val="BodyText"/>
      </w:pPr>
      <w:r>
        <w:t xml:space="preserve">[</w:t>
      </w:r>
      <w:r>
        <w:t xml:space="preserve"> </w:t>
      </w:r>
      <w:r>
        <w:t xml:space="preserve">A_s,</w:t>
      </w:r>
      <w:r>
        <w:t xml:space="preserve">n_s</w:t>
      </w:r>
      <w:r>
        <w:t xml:space="preserve"> </w:t>
      </w:r>
      <w:r>
        <w:t xml:space="preserve">]</w:t>
      </w:r>
    </w:p>
    <w:bookmarkEnd w:id="22"/>
    <w:bookmarkStart w:id="23" w:name="cas-principal"/>
    <w:p>
      <w:pPr>
        <w:pStyle w:val="Heading2"/>
      </w:pPr>
      <w:r>
        <w:t xml:space="preserve">3. Cas principal : (</w:t>
      </w:r>
      <w:r>
        <w:t xml:space="preserve">)</w:t>
      </w:r>
    </w:p>
    <w:p>
      <w:pPr>
        <w:pStyle w:val="FirstParagraph"/>
      </w:pPr>
      <w:r>
        <w:t xml:space="preserve">La constante cosmologique (</w:t>
      </w:r>
      <w:r>
        <w:t xml:space="preserve">) intervient dans les équations d’Einstein sous la forme :</w:t>
      </w:r>
    </w:p>
    <w:p>
      <w:pPr>
        <w:pStyle w:val="BodyText"/>
      </w:pPr>
      <w:r>
        <w:t xml:space="preserve">[</w:t>
      </w:r>
      <w:r>
        <w:t xml:space="preserve"> </w:t>
      </w:r>
      <w:r>
        <w:t xml:space="preserve">G_{</w:t>
      </w:r>
      <w:r>
        <w:t xml:space="preserve">}+</w:t>
      </w:r>
      <w:r>
        <w:t xml:space="preserve">g_{</w:t>
      </w:r>
      <w:r>
        <w:t xml:space="preserve">}</w:t>
      </w:r>
      <w:r>
        <w:t xml:space="preserve"> </w:t>
      </w:r>
      <w:r>
        <w:t xml:space="preserve">=</w:t>
      </w:r>
      <w:r>
        <w:t xml:space="preserve"> </w:t>
      </w:r>
      <w:r>
        <w:t xml:space="preserve">T_{</w:t>
      </w:r>
      <w:r>
        <w:t xml:space="preserve">}</w:t>
      </w:r>
      <w:r>
        <w:t xml:space="preserve"> </w:t>
      </w:r>
      <w:r>
        <w:t xml:space="preserve">]</w:t>
      </w:r>
    </w:p>
    <w:p>
      <w:pPr>
        <w:pStyle w:val="BodyText"/>
      </w:pPr>
      <w:r>
        <w:t xml:space="preserve">Elle a une dimension :</w:t>
      </w:r>
    </w:p>
    <w:p>
      <w:pPr>
        <w:pStyle w:val="BodyText"/>
      </w:pPr>
      <w:r>
        <w:t xml:space="preserve">[</w:t>
      </w:r>
      <w:r>
        <w:t xml:space="preserve"> </w:t>
      </w:r>
      <w:r>
        <w:t xml:space="preserve">L^{-2}</w:t>
      </w:r>
      <w:r>
        <w:t xml:space="preserve"> </w:t>
      </w:r>
      <w:r>
        <w:t xml:space="preserve">]</w:t>
      </w:r>
    </w:p>
    <w:p>
      <w:pPr>
        <w:pStyle w:val="BodyText"/>
      </w:pPr>
      <w:r>
        <w:t xml:space="preserve">Dans la cosmologie de Friedmann-Lemaître, elle contribue à l’expansion comme terme uniforme. Elle peut être reformulée comme densité effective d’énergie noire :</w:t>
      </w:r>
    </w:p>
    <w:p>
      <w:pPr>
        <w:pStyle w:val="BodyText"/>
      </w:pPr>
      <w:r>
        <w:t xml:space="preserve">[</w:t>
      </w:r>
      <w:r>
        <w:t xml:space="preserve"> </w:t>
      </w:r>
      <w:r>
        <w:t xml:space="preserve">_</w:t>
      </w:r>
      <w:r>
        <w:t xml:space="preserve">=</w:t>
      </w:r>
      <w:r>
        <w:t xml:space="preserve"> </w:t>
      </w:r>
      <w:r>
        <w:t xml:space="preserve">]</w:t>
      </w:r>
    </w:p>
    <w:p>
      <w:pPr>
        <w:pStyle w:val="BodyText"/>
      </w:pPr>
      <w:r>
        <w:t xml:space="preserve">avec une pression :</w:t>
      </w:r>
    </w:p>
    <w:p>
      <w:pPr>
        <w:pStyle w:val="BodyText"/>
      </w:pPr>
      <w:r>
        <w:t xml:space="preserve">[</w:t>
      </w:r>
      <w:r>
        <w:t xml:space="preserve"> </w:t>
      </w:r>
      <w:r>
        <w:t xml:space="preserve">p_</w:t>
      </w:r>
      <w:r>
        <w:t xml:space="preserve">=-</w:t>
      </w:r>
      <w:r>
        <w:t xml:space="preserve">_</w:t>
      </w:r>
      <w:r>
        <w:t xml:space="preserve">c^2</w:t>
      </w:r>
      <w:r>
        <w:t xml:space="preserve"> </w:t>
      </w:r>
      <w:r>
        <w:t xml:space="preserve">]</w:t>
      </w:r>
    </w:p>
    <w:p>
      <w:pPr>
        <w:pStyle w:val="BodyText"/>
      </w:pPr>
      <w:r>
        <w:t xml:space="preserve">et donc :</w:t>
      </w:r>
    </w:p>
    <w:p>
      <w:pPr>
        <w:pStyle w:val="BodyText"/>
      </w:pPr>
      <w:r>
        <w:t xml:space="preserve">[</w:t>
      </w:r>
      <w:r>
        <w:t xml:space="preserve"> </w:t>
      </w:r>
      <w:r>
        <w:t xml:space="preserve">w=-1</w:t>
      </w:r>
      <w:r>
        <w:t xml:space="preserve"> </w:t>
      </w:r>
      <w:r>
        <w:t xml:space="preserve">]</w:t>
      </w:r>
    </w:p>
    <w:p>
      <w:pPr>
        <w:pStyle w:val="BodyText"/>
      </w:pPr>
      <w:r>
        <w:t xml:space="preserve">Dans le modèle (</w:t>
      </w:r>
      <w:r>
        <w:t xml:space="preserve">)CDM plat de base, Planck 2018 trouve une très bonne cohérence globale avec six paramètres cosmologiques, avec notamment :</w:t>
      </w:r>
    </w:p>
    <w:p>
      <w:pPr>
        <w:pStyle w:val="BodyText"/>
      </w:pPr>
      <w:r>
        <w:t xml:space="preserve">[</w:t>
      </w:r>
      <w:r>
        <w:t xml:space="preserve"> </w:t>
      </w:r>
      <w:r>
        <w:t xml:space="preserve">H_0=67{,}4</w:t>
      </w:r>
      <w:r>
        <w:t xml:space="preserve">5 </w:t>
      </w:r>
      <w:r>
        <w:t xml:space="preserve"> </w:t>
      </w:r>
      <w:r>
        <w:t xml:space="preserve">]</w:t>
      </w:r>
    </w:p>
    <w:p>
      <w:pPr>
        <w:pStyle w:val="BodyText"/>
      </w:pPr>
      <w:r>
        <w:t xml:space="preserve">[</w:t>
      </w:r>
      <w:r>
        <w:t xml:space="preserve"> </w:t>
      </w:r>
      <w:r>
        <w:t xml:space="preserve">_m=0{,}315</w:t>
      </w:r>
      <w:r>
        <w:t xml:space="preserve">007</w:t>
      </w:r>
      <w:r>
        <w:t xml:space="preserve"> </w:t>
      </w:r>
      <w:r>
        <w:t xml:space="preserve">]</w:t>
      </w:r>
    </w:p>
    <w:p>
      <w:pPr>
        <w:pStyle w:val="BodyText"/>
      </w:pPr>
      <w:r>
        <w:t xml:space="preserve">et aucune évidence convaincante, dans cette analyse principale, pour des extensions au modèle de base.</w:t>
      </w:r>
    </w:p>
    <w:p>
      <w:pPr>
        <w:pStyle w:val="BodyText"/>
      </w:pPr>
      <w:r>
        <w:t xml:space="preserve">(</w:t>
      </w:r>
      <w:r>
        <w:t xml:space="preserve">) a donc un statut particulier : elle n’est pas seulement une coordonnée ajustée. Elle est un terme de l’équation gravitationnelle et une composante de la dynamique globale de l’espace-temps.</w:t>
      </w:r>
    </w:p>
    <w:p>
      <w:pPr>
        <w:pStyle w:val="BodyText"/>
      </w:pPr>
      <w:r>
        <w:t xml:space="preserve">Lecture principale :</w:t>
      </w:r>
    </w:p>
    <w:p>
      <w:pPr>
        <w:pStyle w:val="BodyText"/>
      </w:pPr>
      <w:r>
        <w:t xml:space="preserve">[</w:t>
      </w:r>
      <w:r>
        <w:t xml:space="preserve"> </w:t>
      </w:r>
      <w:r>
        <w:t xml:space="preserve"> </w:t>
      </w:r>
      <w:r>
        <w:t xml:space="preserve">]</w:t>
      </w:r>
    </w:p>
    <w:p>
      <w:pPr>
        <w:pStyle w:val="BodyText"/>
      </w:pPr>
      <w:r>
        <w:t xml:space="preserve">Mais cette lecture ne suffit pas encore à faire de</w:t>
      </w:r>
      <w:r>
        <w:t xml:space="preserve"> </w:t>
      </w:r>
      <w:r>
        <w:rPr>
          <w:b/>
          <w:bCs/>
        </w:rPr>
        <w:t xml:space="preserve">Fond</w:t>
      </w:r>
      <w:r>
        <w:t xml:space="preserve"> </w:t>
      </w:r>
      <w:r>
        <w:t xml:space="preserve">une famille générale.</w:t>
      </w:r>
    </w:p>
    <w:bookmarkEnd w:id="23"/>
    <w:bookmarkStart w:id="24" w:name="terme-densité-paramètre-problème"/>
    <w:p>
      <w:pPr>
        <w:pStyle w:val="Heading2"/>
      </w:pPr>
      <w:r>
        <w:t xml:space="preserve">4. (</w:t>
      </w:r>
      <w:r>
        <w:t xml:space="preserve">) : terme, densité, paramètre, problème</w:t>
      </w:r>
    </w:p>
    <w:p>
      <w:pPr>
        <w:pStyle w:val="FirstParagraph"/>
      </w:pPr>
      <w:r>
        <w:t xml:space="preserve">Le cas (</w:t>
      </w:r>
      <w:r>
        <w:t xml:space="preserve">) est stratifié.</w:t>
      </w:r>
    </w:p>
    <w:p>
      <w:pPr>
        <w:pStyle w:val="BodyText"/>
      </w:pPr>
      <w:r>
        <w:t xml:space="preserve">Il peut être lu comme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Ce caractère stratifié explique pourquoi (</w:t>
      </w:r>
      <w:r>
        <w:t xml:space="preserve">) résiste aux familles déjà disponibles.</w:t>
      </w:r>
    </w:p>
    <w:p>
      <w:pPr>
        <w:pStyle w:val="BodyText"/>
      </w:pPr>
      <w:r>
        <w:t xml:space="preserve">Elle n’est pas seulement une échelle, même si elle définit une échelle cosmologique.</w:t>
      </w:r>
    </w:p>
    <w:p>
      <w:pPr>
        <w:pStyle w:val="BodyText"/>
      </w:pPr>
      <w:r>
        <w:t xml:space="preserve">Elle n’est pas seulement une relation, même si elle peut être reformulée en densité effective.</w:t>
      </w:r>
    </w:p>
    <w:p>
      <w:pPr>
        <w:pStyle w:val="BodyText"/>
      </w:pPr>
      <w:r>
        <w:t xml:space="preserve">Elle n’est pas seulement un paramètre de modèle, même si elle est ajustée dans (</w:t>
      </w:r>
      <w:r>
        <w:t xml:space="preserve">)CDM.</w:t>
      </w:r>
    </w:p>
    <w:p>
      <w:pPr>
        <w:pStyle w:val="BodyText"/>
      </w:pPr>
      <w:r>
        <w:t xml:space="preserve">Elle n’est pas une convention.</w:t>
      </w:r>
    </w:p>
    <w:p>
      <w:pPr>
        <w:pStyle w:val="BodyText"/>
      </w:pPr>
      <w:r>
        <w:t xml:space="preserve">Elle est bien un terme de fond.</w:t>
      </w:r>
    </w:p>
    <w:p>
      <w:pPr>
        <w:pStyle w:val="BodyText"/>
      </w:pPr>
      <w:r>
        <w:t xml:space="preserve">Mais le test doit déterminer si cette fonction est partageable par d’autres grandeurs, ou si elle est propre à (</w:t>
      </w:r>
      <w:r>
        <w:t xml:space="preserve">).</w:t>
      </w:r>
    </w:p>
    <w:bookmarkEnd w:id="24"/>
    <w:bookmarkStart w:id="25" w:name="h_0-taux-dexpansion-actuel"/>
    <w:p>
      <w:pPr>
        <w:pStyle w:val="Heading2"/>
      </w:pPr>
      <w:r>
        <w:t xml:space="preserve">5. (H_0) : taux d’expansion actuel</w:t>
      </w:r>
    </w:p>
    <w:p>
      <w:pPr>
        <w:pStyle w:val="FirstParagraph"/>
      </w:pPr>
      <w:r>
        <w:t xml:space="preserve">Le paramètre de Hubble actuel :</w:t>
      </w:r>
    </w:p>
    <w:p>
      <w:pPr>
        <w:pStyle w:val="BodyText"/>
      </w:pPr>
      <w:r>
        <w:t xml:space="preserve">[</w:t>
      </w:r>
      <w:r>
        <w:t xml:space="preserve"> </w:t>
      </w:r>
      <w:r>
        <w:t xml:space="preserve">H_0</w:t>
      </w:r>
      <w:r>
        <w:t xml:space="preserve"> </w:t>
      </w:r>
      <w:r>
        <w:t xml:space="preserve">]</w:t>
      </w:r>
    </w:p>
    <w:p>
      <w:pPr>
        <w:pStyle w:val="BodyText"/>
      </w:pPr>
      <w:r>
        <w:t xml:space="preserve">mesure le taux d’expansion de l’univers aujourd’hui.</w:t>
      </w:r>
    </w:p>
    <w:p>
      <w:pPr>
        <w:pStyle w:val="BodyText"/>
      </w:pPr>
      <w:r>
        <w:t xml:space="preserve">Il est central en cosmologie observationnelle, mais son statut n’est pas celui de (</w:t>
      </w:r>
      <w:r>
        <w:t xml:space="preserve">). Il ne structure pas le fond comme terme dans les équations au même sens. Il est plutôt une valeur actuelle du taux d’expansion :</w:t>
      </w:r>
    </w:p>
    <w:p>
      <w:pPr>
        <w:pStyle w:val="BodyText"/>
      </w:pPr>
      <w:r>
        <w:t xml:space="preserve">[</w:t>
      </w:r>
      <w:r>
        <w:t xml:space="preserve"> </w:t>
      </w:r>
      <w:r>
        <w:t xml:space="preserve">H(t)=</w:t>
      </w:r>
      <w:r>
        <w:t xml:space="preserve"> </w:t>
      </w:r>
      <w:r>
        <w:t xml:space="preserve">]</w:t>
      </w:r>
    </w:p>
    <w:p>
      <w:pPr>
        <w:pStyle w:val="BodyText"/>
      </w:pPr>
      <w:r>
        <w:t xml:space="preserve">évaluée à l’époque présente.</w:t>
      </w:r>
    </w:p>
    <w:p>
      <w:pPr>
        <w:pStyle w:val="BodyText"/>
      </w:pPr>
      <w:r>
        <w:t xml:space="preserve">Dans (</w:t>
      </w:r>
      <w:r>
        <w:t xml:space="preserve">)CDM, (H_0) est un paramètre ajusté, corrélé aux densités, à l’échelle sonore, aux données CMB, BAO, supernovae et aux mesures locales.</w:t>
      </w:r>
    </w:p>
    <w:p>
      <w:pPr>
        <w:pStyle w:val="BodyText"/>
      </w:pPr>
      <w:r>
        <w:t xml:space="preserve">Planck 2018 donne :</w:t>
      </w:r>
    </w:p>
    <w:p>
      <w:pPr>
        <w:pStyle w:val="BodyText"/>
      </w:pPr>
      <w:r>
        <w:t xml:space="preserve">[</w:t>
      </w:r>
      <w:r>
        <w:t xml:space="preserve"> </w:t>
      </w:r>
      <w:r>
        <w:t xml:space="preserve">H_0=67{,}4</w:t>
      </w:r>
      <w:r>
        <w:t xml:space="preserve">5 </w:t>
      </w:r>
      <w:r>
        <w:t xml:space="preserve"> </w:t>
      </w:r>
      <w:r>
        <w:t xml:space="preserve">]</w:t>
      </w:r>
    </w:p>
    <w:p>
      <w:pPr>
        <w:pStyle w:val="BodyText"/>
      </w:pPr>
      <w:r>
        <w:t xml:space="preserve">dans le cadre de base (</w:t>
      </w:r>
      <w:r>
        <w:t xml:space="preserve">)CDM.</w:t>
      </w:r>
    </w:p>
    <w:p>
      <w:pPr>
        <w:pStyle w:val="BodyText"/>
      </w:pPr>
      <w:r>
        <w:t xml:space="preserve">La fonction principale de (H_0) n’est donc pas</w:t>
      </w:r>
      <w:r>
        <w:t xml:space="preserve"> </w:t>
      </w:r>
      <w:r>
        <w:t xml:space="preserve">“fond”</w:t>
      </w:r>
      <w:r>
        <w:t xml:space="preserve"> </w:t>
      </w:r>
      <w:r>
        <w:t xml:space="preserve">au même sens que (</w:t>
      </w:r>
      <w:r>
        <w:t xml:space="preserve">). C’est plutôt :</w:t>
      </w:r>
    </w:p>
    <w:p>
      <w:pPr>
        <w:pStyle w:val="BodyText"/>
      </w:pPr>
      <w:r>
        <w:t xml:space="preserve">[</w:t>
      </w:r>
      <w:r>
        <w:t xml:space="preserve"> </w:t>
      </w:r>
      <w:r>
        <w:t xml:space="preserve"> </w:t>
      </w:r>
      <w:r>
        <w:t xml:space="preserve">]</w:t>
      </w:r>
    </w:p>
    <w:p>
      <w:pPr>
        <w:pStyle w:val="BodyText"/>
      </w:pPr>
      <w:r>
        <w:t xml:space="preserve">ou :</w:t>
      </w:r>
    </w:p>
    <w:p>
      <w:pPr>
        <w:pStyle w:val="BodyText"/>
      </w:pPr>
      <w:r>
        <w:t xml:space="preserve">[</w:t>
      </w:r>
      <w:r>
        <w:t xml:space="preserve"> </w:t>
      </w:r>
      <w:r>
        <w:t xml:space="preserve"> </w:t>
      </w:r>
      <w:r>
        <w:t xml:space="preserve">]</w:t>
      </w:r>
    </w:p>
    <w:p>
      <w:pPr>
        <w:pStyle w:val="BodyText"/>
      </w:pPr>
      <w:r>
        <w:t xml:space="preserve">Lecture proposée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(H_0) ne confirme pas Fond comme famille autonome.</w:t>
      </w:r>
    </w:p>
    <w:bookmarkEnd w:id="25"/>
    <w:bookmarkStart w:id="26" w:name="m-et-densités-normalisées"/>
    <w:p>
      <w:pPr>
        <w:pStyle w:val="Heading2"/>
      </w:pPr>
      <w:r>
        <w:t xml:space="preserve">6. (</w:t>
      </w:r>
      <w:r>
        <w:rPr>
          <w:i/>
          <w:iCs/>
        </w:rPr>
        <w:t xml:space="preserve">m) et (</w:t>
      </w:r>
      <w:r>
        <w:t xml:space="preserve">) : densités normalisées</w:t>
      </w:r>
    </w:p>
    <w:p>
      <w:pPr>
        <w:pStyle w:val="FirstParagraph"/>
      </w:pPr>
      <w:r>
        <w:t xml:space="preserve">Les paramètres :</w:t>
      </w:r>
    </w:p>
    <w:p>
      <w:pPr>
        <w:pStyle w:val="BodyText"/>
      </w:pPr>
      <w:r>
        <w:t xml:space="preserve">[</w:t>
      </w:r>
      <w:r>
        <w:t xml:space="preserve"> </w:t>
      </w:r>
      <w:r>
        <w:t xml:space="preserve">_m</w:t>
      </w:r>
      <w:r>
        <w:t xml:space="preserve"> </w:t>
      </w:r>
      <w:r>
        <w:t xml:space="preserve">]</w:t>
      </w:r>
    </w:p>
    <w:p>
      <w:pPr>
        <w:pStyle w:val="BodyText"/>
      </w:pPr>
      <w:r>
        <w:t xml:space="preserve">[</w:t>
      </w:r>
      <w:r>
        <w:t xml:space="preserve"> </w:t>
      </w:r>
      <w:r>
        <w:t xml:space="preserve">_</w:t>
      </w:r>
      <w:r>
        <w:t xml:space="preserve"> </w:t>
      </w:r>
      <w:r>
        <w:t xml:space="preserve">]</w:t>
      </w:r>
    </w:p>
    <w:p>
      <w:pPr>
        <w:pStyle w:val="BodyText"/>
      </w:pPr>
      <w:r>
        <w:t xml:space="preserve">expriment des fractions de densité rapportées à la densité critique :</w:t>
      </w:r>
    </w:p>
    <w:p>
      <w:pPr>
        <w:pStyle w:val="BodyText"/>
      </w:pPr>
      <w:r>
        <w:t xml:space="preserve">[</w:t>
      </w:r>
      <w:r>
        <w:t xml:space="preserve"> </w:t>
      </w:r>
      <w:r>
        <w:t xml:space="preserve">_c=</w:t>
      </w:r>
      <w:r>
        <w:t xml:space="preserve"> </w:t>
      </w:r>
      <w:r>
        <w:t xml:space="preserve">]</w:t>
      </w:r>
    </w:p>
    <w:p>
      <w:pPr>
        <w:pStyle w:val="BodyText"/>
      </w:pPr>
      <w:r>
        <w:t xml:space="preserve">Ils sont donc des grandeurs relationnelles et normalisées.</w:t>
      </w:r>
    </w:p>
    <w:p>
      <w:pPr>
        <w:pStyle w:val="BodyText"/>
      </w:pPr>
      <w:r>
        <w:t xml:space="preserve">[</w:t>
      </w:r>
      <w:r>
        <w:t xml:space="preserve"> </w:t>
      </w:r>
      <w:r>
        <w:t xml:space="preserve">_m</w:t>
      </w:r>
      <w:r>
        <w:t xml:space="preserve"> </w:t>
      </w:r>
      <w:r>
        <w:t xml:space="preserve">]</w:t>
      </w:r>
    </w:p>
    <w:p>
      <w:pPr>
        <w:pStyle w:val="BodyText"/>
      </w:pPr>
      <w:r>
        <w:t xml:space="preserve">désigne la fraction de densité de matière.</w:t>
      </w:r>
    </w:p>
    <w:p>
      <w:pPr>
        <w:pStyle w:val="BodyText"/>
      </w:pPr>
      <w:r>
        <w:t xml:space="preserve">[</w:t>
      </w:r>
      <w:r>
        <w:t xml:space="preserve"> </w:t>
      </w:r>
      <w:r>
        <w:t xml:space="preserve">_</w:t>
      </w:r>
      <w:r>
        <w:t xml:space="preserve"> </w:t>
      </w:r>
      <w:r>
        <w:t xml:space="preserve">]</w:t>
      </w:r>
    </w:p>
    <w:p>
      <w:pPr>
        <w:pStyle w:val="BodyText"/>
      </w:pPr>
      <w:r>
        <w:t xml:space="preserve">désigne la fraction associée à (</w:t>
      </w:r>
      <w:r>
        <w:t xml:space="preserve">) dans un modèle donné.</w:t>
      </w:r>
    </w:p>
    <w:p>
      <w:pPr>
        <w:pStyle w:val="BodyText"/>
      </w:pPr>
      <w:r>
        <w:t xml:space="preserve">Ces grandeurs sont très importantes en cosmologie, mais elles sont dépendantes du cadre. Elles ne sont pas des constantes fondamentales. Elles varient aussi conceptuellement avec l’époque cosmologique si on considère les fractions d’énergie au cours de l’histoire de l’univers.</w:t>
      </w:r>
    </w:p>
    <w:p>
      <w:pPr>
        <w:pStyle w:val="BodyText"/>
      </w:pPr>
      <w:r>
        <w:t xml:space="preserve">Elles appartiennent donc davantage à :</w:t>
      </w:r>
    </w:p>
    <w:p>
      <w:pPr>
        <w:pStyle w:val="BodyText"/>
      </w:pPr>
      <w:r>
        <w:t xml:space="preserve">[</w:t>
      </w:r>
      <w:r>
        <w:t xml:space="preserve"> </w:t>
      </w:r>
      <w:r>
        <w:t xml:space="preserve"> </w:t>
      </w:r>
      <w:r>
        <w:t xml:space="preserve">]</w:t>
      </w:r>
    </w:p>
    <w:p>
      <w:pPr>
        <w:pStyle w:val="BodyText"/>
      </w:pPr>
      <w:r>
        <w:t xml:space="preserve">sous-type :</w:t>
      </w:r>
    </w:p>
    <w:p>
      <w:pPr>
        <w:pStyle w:val="BodyText"/>
      </w:pPr>
      <w:r>
        <w:t xml:space="preserve">[</w:t>
      </w:r>
      <w:r>
        <w:t xml:space="preserve"> </w:t>
      </w:r>
      <w:r>
        <w:t xml:space="preserve"> </w:t>
      </w:r>
      <w:r>
        <w:t xml:space="preserve">]</w:t>
      </w:r>
    </w:p>
    <w:p>
      <w:pPr>
        <w:pStyle w:val="BodyText"/>
      </w:pPr>
      <w:r>
        <w:t xml:space="preserve">et à :</w:t>
      </w:r>
    </w:p>
    <w:p>
      <w:pPr>
        <w:pStyle w:val="BodyText"/>
      </w:pPr>
      <w:r>
        <w:t xml:space="preserve">[</w:t>
      </w:r>
      <w:r>
        <w:t xml:space="preserve"> </w:t>
      </w:r>
      <w:r>
        <w:t xml:space="preserve"> </w:t>
      </w:r>
      <w:r>
        <w:t xml:space="preserve">]</w:t>
      </w:r>
    </w:p>
    <w:p>
      <w:pPr>
        <w:pStyle w:val="BodyText"/>
      </w:pPr>
      <w:r>
        <w:t xml:space="preserve">Elles ne confirment pas Fond comme famille autonome.</w:t>
      </w:r>
    </w:p>
    <w:bookmarkEnd w:id="26"/>
    <w:bookmarkStart w:id="27" w:name="w-équation-détat-de-lénergie-noire"/>
    <w:p>
      <w:pPr>
        <w:pStyle w:val="Heading2"/>
      </w:pPr>
      <w:r>
        <w:t xml:space="preserve">7. (w) : équation d’état de l’énergie noire</w:t>
      </w:r>
    </w:p>
    <w:p>
      <w:pPr>
        <w:pStyle w:val="FirstParagraph"/>
      </w:pPr>
      <w:r>
        <w:t xml:space="preserve">Le paramètre :</w:t>
      </w:r>
    </w:p>
    <w:p>
      <w:pPr>
        <w:pStyle w:val="BodyText"/>
      </w:pPr>
      <w:r>
        <w:t xml:space="preserve">[</w:t>
      </w:r>
      <w:r>
        <w:t xml:space="preserve"> </w:t>
      </w:r>
      <w:r>
        <w:t xml:space="preserve">w=</w:t>
      </w:r>
      <w:r>
        <w:t xml:space="preserve"> </w:t>
      </w:r>
      <w:r>
        <w:t xml:space="preserve">]</w:t>
      </w:r>
    </w:p>
    <w:p>
      <w:pPr>
        <w:pStyle w:val="BodyText"/>
      </w:pPr>
      <w:r>
        <w:t xml:space="preserve">décrit le rapport entre pression et densité d’énergie d’une composante cosmologique.</w:t>
      </w:r>
    </w:p>
    <w:p>
      <w:pPr>
        <w:pStyle w:val="BodyText"/>
      </w:pPr>
      <w:r>
        <w:t xml:space="preserve">Pour une constante cosmologique stricte :</w:t>
      </w:r>
    </w:p>
    <w:p>
      <w:pPr>
        <w:pStyle w:val="BodyText"/>
      </w:pPr>
      <w:r>
        <w:t xml:space="preserve">[</w:t>
      </w:r>
      <w:r>
        <w:t xml:space="preserve"> </w:t>
      </w:r>
      <w:r>
        <w:t xml:space="preserve">w=-1</w:t>
      </w:r>
      <w:r>
        <w:t xml:space="preserve"> </w:t>
      </w:r>
      <w:r>
        <w:t xml:space="preserve">]</w:t>
      </w:r>
    </w:p>
    <w:p>
      <w:pPr>
        <w:pStyle w:val="BodyText"/>
      </w:pPr>
      <w:r>
        <w:t xml:space="preserve">Mais dans les modèles d’énergie noire dynamique, (w) peut être différent de (-1), ou dépendre du temps. Les paramétrisations de type :</w:t>
      </w:r>
    </w:p>
    <w:p>
      <w:pPr>
        <w:pStyle w:val="BodyText"/>
      </w:pPr>
      <w:r>
        <w:t xml:space="preserve">[</w:t>
      </w:r>
      <w:r>
        <w:t xml:space="preserve"> </w:t>
      </w:r>
      <w:r>
        <w:t xml:space="preserve">w(a)=w_0+w_a(1-a)</w:t>
      </w:r>
      <w:r>
        <w:t xml:space="preserve"> </w:t>
      </w:r>
      <w:r>
        <w:t xml:space="preserve">]</w:t>
      </w:r>
    </w:p>
    <w:p>
      <w:pPr>
        <w:pStyle w:val="BodyText"/>
      </w:pPr>
      <w:r>
        <w:t xml:space="preserve">servent alors à tester une évolution possible de l’énergie noire.</w:t>
      </w:r>
    </w:p>
    <w:p>
      <w:pPr>
        <w:pStyle w:val="BodyText"/>
      </w:pPr>
      <w:r>
        <w:t xml:space="preserve">Les résultats récents de DESI DR2 sont précisément importants parce que les BAO seules restent bien décrites par un modèle plat (</w:t>
      </w:r>
      <w:r>
        <w:t xml:space="preserve">)CDM, tandis que certaines combinaisons avec CMB et supernovae préfèrent des modèles (w_0w_a) avec énergie noire dynamique, avec des significativités dépendantes des jeux de données.</w:t>
      </w:r>
    </w:p>
    <w:p>
      <w:pPr>
        <w:pStyle w:val="BodyText"/>
      </w:pPr>
      <w:r>
        <w:t xml:space="preserve">Le statut de (w) est donc différent de celui de (</w:t>
      </w:r>
      <w:r>
        <w:t xml:space="preserve">).</w:t>
      </w:r>
    </w:p>
    <w:p>
      <w:pPr>
        <w:pStyle w:val="BodyText"/>
      </w:pPr>
      <w:r>
        <w:t xml:space="preserve">[</w:t>
      </w:r>
      <w:r>
        <w:t xml:space="preserve"> </w:t>
      </w:r>
      <w:r>
        <w:t xml:space="preserve">w</w:t>
      </w:r>
      <w:r>
        <w:t xml:space="preserve"> </w:t>
      </w:r>
      <w:r>
        <w:t xml:space="preserve">]</w:t>
      </w:r>
    </w:p>
    <w:p>
      <w:pPr>
        <w:pStyle w:val="BodyText"/>
      </w:pPr>
      <w:r>
        <w:t xml:space="preserve">n’est pas un terme de fond en lui-même. C’est un paramètre phénoménologique qui décrit le comportement d’une composante de fond.</w:t>
      </w:r>
    </w:p>
    <w:p>
      <w:pPr>
        <w:pStyle w:val="BodyText"/>
      </w:pPr>
      <w:r>
        <w:t xml:space="preserve">Lecture proposée :</w:t>
      </w:r>
    </w:p>
    <w:p>
      <w:pPr>
        <w:pStyle w:val="BodyText"/>
      </w:pPr>
      <w:r>
        <w:t xml:space="preserve">[</w:t>
      </w:r>
      <w:r>
        <w:t xml:space="preserve"> </w:t>
      </w:r>
      <w:r>
        <w:t xml:space="preserve"> </w:t>
      </w:r>
      <w:r>
        <w:t xml:space="preserve">]</w:t>
      </w:r>
    </w:p>
    <w:p>
      <w:pPr>
        <w:pStyle w:val="BodyText"/>
      </w:pPr>
      <w:r>
        <w:t xml:space="preserve">Sous-type :</w:t>
      </w:r>
    </w:p>
    <w:p>
      <w:pPr>
        <w:pStyle w:val="BodyText"/>
      </w:pPr>
      <w:r>
        <w:t xml:space="preserve">[</w:t>
      </w:r>
      <w:r>
        <w:t xml:space="preserve"> </w:t>
      </w:r>
      <w:r>
        <w:t xml:space="preserve"> </w:t>
      </w:r>
      <w:r>
        <w:t xml:space="preserve">]</w:t>
      </w:r>
    </w:p>
    <w:p>
      <w:pPr>
        <w:pStyle w:val="BodyText"/>
      </w:pPr>
      <w:r>
        <w:t xml:space="preserve">Architecture :</w:t>
      </w:r>
    </w:p>
    <w:p>
      <w:pPr>
        <w:pStyle w:val="BodyText"/>
      </w:pPr>
      <w:r>
        <w:t xml:space="preserve">[</w:t>
      </w:r>
      <w:r>
        <w:t xml:space="preserve"> </w:t>
      </w:r>
      <w:r>
        <w:t xml:space="preserve"> </w:t>
      </w:r>
      <w:r>
        <w:t xml:space="preserve">]</w:t>
      </w:r>
    </w:p>
    <w:p>
      <w:pPr>
        <w:pStyle w:val="BodyText"/>
      </w:pPr>
      <w:r>
        <w:t xml:space="preserve">Fonction transversale :</w:t>
      </w:r>
    </w:p>
    <w:p>
      <w:pPr>
        <w:pStyle w:val="BodyText"/>
      </w:pPr>
      <w:r>
        <w:t xml:space="preserve">[</w:t>
      </w:r>
      <w:r>
        <w:t xml:space="preserve"> </w:t>
      </w:r>
      <w:r>
        <w:t xml:space="preserve"> </w:t>
      </w:r>
      <w:r>
        <w:t xml:space="preserve">]</w:t>
      </w:r>
    </w:p>
    <w:p>
      <w:pPr>
        <w:pStyle w:val="BodyText"/>
      </w:pPr>
      <w:r>
        <w:t xml:space="preserve">(w) ne confirme donc pas Fond comme famille. Il confirme plutôt que le fond cosmologique doit être traité comme architecture.</w:t>
      </w:r>
    </w:p>
    <w:bookmarkEnd w:id="27"/>
    <w:bookmarkStart w:id="28" w:name="X6e87168790327eff5ab1c9821f6542169d10ef2"/>
    <w:p>
      <w:pPr>
        <w:pStyle w:val="Heading2"/>
      </w:pPr>
      <w:r>
        <w:t xml:space="preserve">8. (A_s) et (n_s) : conditions initiales perturbatives</w:t>
      </w:r>
    </w:p>
    <w:p>
      <w:pPr>
        <w:pStyle w:val="FirstParagraph"/>
      </w:pPr>
      <w:r>
        <w:t xml:space="preserve">Les paramètres :</w:t>
      </w:r>
    </w:p>
    <w:p>
      <w:pPr>
        <w:pStyle w:val="BodyText"/>
      </w:pPr>
      <w:r>
        <w:t xml:space="preserve">[</w:t>
      </w:r>
      <w:r>
        <w:t xml:space="preserve"> </w:t>
      </w:r>
      <w:r>
        <w:t xml:space="preserve">A_s</w:t>
      </w:r>
      <w:r>
        <w:t xml:space="preserve"> </w:t>
      </w:r>
      <w:r>
        <w:t xml:space="preserve">]</w:t>
      </w:r>
    </w:p>
    <w:p>
      <w:pPr>
        <w:pStyle w:val="BodyText"/>
      </w:pPr>
      <w:r>
        <w:t xml:space="preserve">et :</w:t>
      </w:r>
    </w:p>
    <w:p>
      <w:pPr>
        <w:pStyle w:val="BodyText"/>
      </w:pPr>
      <w:r>
        <w:t xml:space="preserve">[</w:t>
      </w:r>
      <w:r>
        <w:t xml:space="preserve"> </w:t>
      </w:r>
      <w:r>
        <w:t xml:space="preserve">n_s</w:t>
      </w:r>
      <w:r>
        <w:t xml:space="preserve"> </w:t>
      </w:r>
      <w:r>
        <w:t xml:space="preserve">]</w:t>
      </w:r>
    </w:p>
    <w:p>
      <w:pPr>
        <w:pStyle w:val="BodyText"/>
      </w:pPr>
      <w:r>
        <w:t xml:space="preserve">décrivent le spectre primordial des perturbations scalaires.</w:t>
      </w:r>
    </w:p>
    <w:p>
      <w:pPr>
        <w:pStyle w:val="BodyText"/>
      </w:pPr>
      <w:r>
        <w:t xml:space="preserve">[</w:t>
      </w:r>
      <w:r>
        <w:t xml:space="preserve"> </w:t>
      </w:r>
      <w:r>
        <w:t xml:space="preserve">A_s</w:t>
      </w:r>
      <w:r>
        <w:t xml:space="preserve"> </w:t>
      </w:r>
      <w:r>
        <w:t xml:space="preserve">]</w:t>
      </w:r>
    </w:p>
    <w:p>
      <w:pPr>
        <w:pStyle w:val="BodyText"/>
      </w:pPr>
      <w:r>
        <w:t xml:space="preserve">fixe l’amplitude du spectre primordial.</w:t>
      </w:r>
    </w:p>
    <w:p>
      <w:pPr>
        <w:pStyle w:val="BodyText"/>
      </w:pPr>
      <w:r>
        <w:t xml:space="preserve">[</w:t>
      </w:r>
      <w:r>
        <w:t xml:space="preserve"> </w:t>
      </w:r>
      <w:r>
        <w:t xml:space="preserve">n_s</w:t>
      </w:r>
      <w:r>
        <w:t xml:space="preserve"> </w:t>
      </w:r>
      <w:r>
        <w:t xml:space="preserve">]</w:t>
      </w:r>
    </w:p>
    <w:p>
      <w:pPr>
        <w:pStyle w:val="BodyText"/>
      </w:pPr>
      <w:r>
        <w:t xml:space="preserve">en fixe l’indice spectral.</w:t>
      </w:r>
    </w:p>
    <w:p>
      <w:pPr>
        <w:pStyle w:val="BodyText"/>
      </w:pPr>
      <w:r>
        <w:t xml:space="preserve">Planck 2018 donne notamment :</w:t>
      </w:r>
    </w:p>
    <w:p>
      <w:pPr>
        <w:pStyle w:val="BodyText"/>
      </w:pPr>
      <w:r>
        <w:t xml:space="preserve">[</w:t>
      </w:r>
      <w:r>
        <w:t xml:space="preserve"> </w:t>
      </w:r>
      <w:r>
        <w:t xml:space="preserve">n_s=0{,}965</w:t>
      </w:r>
      <w:r>
        <w:t xml:space="preserve">004</w:t>
      </w:r>
      <w:r>
        <w:t xml:space="preserve"> </w:t>
      </w:r>
      <w:r>
        <w:t xml:space="preserve">]</w:t>
      </w:r>
    </w:p>
    <w:p>
      <w:pPr>
        <w:pStyle w:val="BodyText"/>
      </w:pPr>
      <w:r>
        <w:t xml:space="preserve">dans le résumé des paramètres de base.</w:t>
      </w:r>
    </w:p>
    <w:p>
      <w:pPr>
        <w:pStyle w:val="BodyText"/>
      </w:pPr>
      <w:r>
        <w:t xml:space="preserve">Ces paramètres structurent fortement l’architecture cosmologique, mais ils ne sont pas des constantes de fond au même sens que (</w:t>
      </w:r>
      <w:r>
        <w:t xml:space="preserve">). Ils appartiennent plutôt aux conditions initiales ou au secteur primordial de la cosmologie.</w:t>
      </w:r>
    </w:p>
    <w:p>
      <w:pPr>
        <w:pStyle w:val="BodyText"/>
      </w:pPr>
      <w:r>
        <w:t xml:space="preserve">Lecture proposée :</w:t>
      </w:r>
    </w:p>
    <w:p>
      <w:pPr>
        <w:pStyle w:val="BodyText"/>
      </w:pPr>
      <w:r>
        <w:t xml:space="preserve">[</w:t>
      </w:r>
      <w:r>
        <w:t xml:space="preserve"> </w:t>
      </w:r>
      <w:r>
        <w:t xml:space="preserve"> </w:t>
      </w:r>
      <w:r>
        <w:t xml:space="preserve">]</w:t>
      </w:r>
    </w:p>
    <w:p>
      <w:pPr>
        <w:pStyle w:val="BodyText"/>
      </w:pPr>
      <w:r>
        <w:t xml:space="preserve">Architecture :</w:t>
      </w:r>
    </w:p>
    <w:p>
      <w:pPr>
        <w:pStyle w:val="BodyText"/>
      </w:pPr>
      <w:r>
        <w:t xml:space="preserve">[</w:t>
      </w:r>
      <w:r>
        <w:t xml:space="preserve"> </w:t>
      </w:r>
      <w:r>
        <w:t xml:space="preserve"> </w:t>
      </w:r>
      <w:r>
        <w:t xml:space="preserve">]</w:t>
      </w:r>
    </w:p>
    <w:p>
      <w:pPr>
        <w:pStyle w:val="BodyText"/>
      </w:pPr>
      <w:r>
        <w:t xml:space="preserve">Fonction :</w:t>
      </w:r>
    </w:p>
    <w:p>
      <w:pPr>
        <w:pStyle w:val="BodyText"/>
      </w:pPr>
      <w:r>
        <w:t xml:space="preserve">[</w:t>
      </w:r>
      <w:r>
        <w:t xml:space="preserve"> </w:t>
      </w:r>
      <w:r>
        <w:t xml:space="preserve"> </w:t>
      </w:r>
      <w:r>
        <w:t xml:space="preserve">]</w:t>
      </w:r>
    </w:p>
    <w:p>
      <w:pPr>
        <w:pStyle w:val="BodyText"/>
      </w:pPr>
      <w:r>
        <w:t xml:space="preserve">Ils ne confirment pas Fond comme famille autonome. Ils élargissent l’architecture cosmologique.</w:t>
      </w:r>
    </w:p>
    <w:bookmarkEnd w:id="28"/>
    <w:bookmarkStart w:id="29" w:name="résultat-intermédiaire"/>
    <w:p>
      <w:pPr>
        <w:pStyle w:val="Heading2"/>
      </w:pPr>
      <w:r>
        <w:t xml:space="preserve">9. Résultat intermédiaire</w:t>
      </w:r>
    </w:p>
    <w:p>
      <w:pPr>
        <w:pStyle w:val="FirstParagraph"/>
      </w:pPr>
      <w:r>
        <w:t xml:space="preserve">Le test donne un résultat asymétrique.</w:t>
      </w:r>
    </w:p>
    <w:p>
      <w:pPr>
        <w:pStyle w:val="BodyText"/>
      </w:pPr>
      <w:r>
        <w:t xml:space="preserve">[</w:t>
      </w:r>
      <w:r>
        <w:t xml:space="preserve"> </w:t>
      </w:r>
      <w:r>
        <w:t xml:space="preserve"> </w:t>
      </w:r>
      <w:r>
        <w:t xml:space="preserve">]</w:t>
      </w:r>
    </w:p>
    <w:p>
      <w:pPr>
        <w:pStyle w:val="BodyText"/>
      </w:pPr>
      <w:r>
        <w:t xml:space="preserve">reste un cas fort de fonction de fond.</w:t>
      </w:r>
    </w:p>
    <w:p>
      <w:pPr>
        <w:pStyle w:val="BodyText"/>
      </w:pPr>
      <w:r>
        <w:t xml:space="preserve">Mais :</w:t>
      </w:r>
    </w:p>
    <w:p>
      <w:pPr>
        <w:pStyle w:val="BodyText"/>
      </w:pPr>
      <w:r>
        <w:t xml:space="preserve">[</w:t>
      </w:r>
      <w:r>
        <w:t xml:space="preserve"> </w:t>
      </w:r>
      <w:r>
        <w:t xml:space="preserve">H_0</w:t>
      </w:r>
      <w:r>
        <w:t xml:space="preserve"> </w:t>
      </w:r>
      <w:r>
        <w:t xml:space="preserve">]</w:t>
      </w:r>
    </w:p>
    <w:p>
      <w:pPr>
        <w:pStyle w:val="BodyText"/>
      </w:pPr>
      <w:r>
        <w:t xml:space="preserve">[</w:t>
      </w:r>
      <w:r>
        <w:t xml:space="preserve"> </w:t>
      </w:r>
      <w:r>
        <w:rPr>
          <w:i/>
          <w:iCs/>
        </w:rPr>
        <w:t xml:space="preserve">m,</w:t>
      </w:r>
      <w:r>
        <w:t xml:space="preserve"> </w:t>
      </w:r>
      <w:r>
        <w:t xml:space="preserve">]</w:t>
      </w:r>
    </w:p>
    <w:p>
      <w:pPr>
        <w:pStyle w:val="BodyText"/>
      </w:pPr>
      <w:r>
        <w:t xml:space="preserve">[</w:t>
      </w:r>
      <w:r>
        <w:t xml:space="preserve"> </w:t>
      </w:r>
      <w:r>
        <w:t xml:space="preserve">w</w:t>
      </w:r>
      <w:r>
        <w:t xml:space="preserve"> </w:t>
      </w:r>
      <w:r>
        <w:t xml:space="preserve">]</w:t>
      </w:r>
    </w:p>
    <w:p>
      <w:pPr>
        <w:pStyle w:val="BodyText"/>
      </w:pPr>
      <w:r>
        <w:t xml:space="preserve">[</w:t>
      </w:r>
      <w:r>
        <w:t xml:space="preserve"> </w:t>
      </w:r>
      <w:r>
        <w:t xml:space="preserve">A_s,</w:t>
      </w:r>
      <w:r>
        <w:t xml:space="preserve">n_s</w:t>
      </w:r>
      <w:r>
        <w:t xml:space="preserve"> </w:t>
      </w:r>
      <w:r>
        <w:t xml:space="preserve">]</w:t>
      </w:r>
    </w:p>
    <w:p>
      <w:pPr>
        <w:pStyle w:val="BodyText"/>
      </w:pPr>
      <w:r>
        <w:t xml:space="preserve">ne relèvent pas tous de la même famille fonctionnelle.</w:t>
      </w:r>
    </w:p>
    <w:p>
      <w:pPr>
        <w:pStyle w:val="BodyText"/>
      </w:pPr>
      <w:r>
        <w:t xml:space="preserve">Ils appartiennent plutôt à une</w:t>
      </w:r>
      <w:r>
        <w:t xml:space="preserve"> </w:t>
      </w:r>
      <w:r>
        <w:rPr>
          <w:b/>
          <w:bCs/>
        </w:rPr>
        <w:t xml:space="preserve">architecture cosmologique</w:t>
      </w:r>
      <w:r>
        <w:t xml:space="preserve"> </w:t>
      </w:r>
      <w:r>
        <w:t xml:space="preserve">où plusieurs familles s’articulent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Le test ne confirme donc pas Fond comme famille robuste au même rang que Couplage, Échelle, Raccordement, Orientation ou Convention.</w:t>
      </w:r>
    </w:p>
    <w:bookmarkEnd w:id="29"/>
    <w:bookmarkStart w:id="30" w:name="faut-il-supprimer-fond"/>
    <w:p>
      <w:pPr>
        <w:pStyle w:val="Heading2"/>
      </w:pPr>
      <w:r>
        <w:t xml:space="preserve">10. Faut-il supprimer Fond ?</w:t>
      </w:r>
    </w:p>
    <w:p>
      <w:pPr>
        <w:pStyle w:val="FirstParagraph"/>
      </w:pPr>
      <w:r>
        <w:t xml:space="preserve">Non.</w:t>
      </w:r>
    </w:p>
    <w:p>
      <w:pPr>
        <w:pStyle w:val="BodyText"/>
      </w:pPr>
      <w:r>
        <w:t xml:space="preserve">Mais il faut changer son rang.</w:t>
      </w:r>
    </w:p>
    <w:p>
      <w:pPr>
        <w:pStyle w:val="BodyText"/>
      </w:pPr>
      <w:r>
        <w:t xml:space="preserve">Le cas (</w:t>
      </w:r>
      <w:r>
        <w:t xml:space="preserve">) montre qu’il existe bien une fonction de fond : structurer la dynamique globale de l’espace-temps.</w:t>
      </w:r>
    </w:p>
    <w:p>
      <w:pPr>
        <w:pStyle w:val="BodyText"/>
      </w:pPr>
      <w:r>
        <w:t xml:space="preserve">Cependant, les autres candidats ne montrent pas que</w:t>
      </w:r>
      <w:r>
        <w:t xml:space="preserve"> </w:t>
      </w:r>
      <w:r>
        <w:rPr>
          <w:b/>
          <w:bCs/>
        </w:rPr>
        <w:t xml:space="preserve">Fond</w:t>
      </w:r>
      <w:r>
        <w:t xml:space="preserve"> </w:t>
      </w:r>
      <w:r>
        <w:t xml:space="preserve">soit une famille large. Ils montrent plutôt que le fond cosmologique est une</w:t>
      </w:r>
      <w:r>
        <w:t xml:space="preserve"> </w:t>
      </w:r>
      <w:r>
        <w:rPr>
          <w:b/>
          <w:bCs/>
        </w:rPr>
        <w:t xml:space="preserve">composante architecturale</w:t>
      </w:r>
      <w:r>
        <w:t xml:space="preserve">.</w:t>
      </w:r>
    </w:p>
    <w:p>
      <w:pPr>
        <w:pStyle w:val="BodyText"/>
      </w:pPr>
      <w:r>
        <w:t xml:space="preserve">La décision proposée est donc :</w:t>
      </w:r>
    </w:p>
    <w:p>
      <w:pPr>
        <w:pStyle w:val="BodyText"/>
      </w:pPr>
      <w:r>
        <w:t xml:space="preserve">[</w:t>
      </w:r>
      <w:r>
        <w:t xml:space="preserve"> </w:t>
      </w:r>
      <w:r>
        <w:t xml:space="preserve"> </w:t>
      </w:r>
      <w:r>
        <w:t xml:space="preserve">]</w:t>
      </w:r>
    </w:p>
    <w:p>
      <w:pPr>
        <w:pStyle w:val="BodyText"/>
      </w:pPr>
      <w:r>
        <w:t xml:space="preserve">ne doit plus être une famille supérieure pleinement autonome.</w:t>
      </w:r>
    </w:p>
    <w:p>
      <w:pPr>
        <w:pStyle w:val="BodyText"/>
      </w:pPr>
      <w:r>
        <w:t xml:space="preserve">Il doit devenir :</w:t>
      </w:r>
    </w:p>
    <w:p>
      <w:pPr>
        <w:pStyle w:val="BodyText"/>
      </w:pPr>
      <w:r>
        <w:t xml:space="preserve">[</w:t>
      </w:r>
      <w:r>
        <w:t xml:space="preserve"> </w:t>
      </w:r>
      <w:r>
        <w:t xml:space="preserve"> </w:t>
      </w:r>
      <w:r>
        <w:t xml:space="preserve">]</w:t>
      </w:r>
    </w:p>
    <w:p>
      <w:pPr>
        <w:pStyle w:val="BodyText"/>
      </w:pPr>
      <w:r>
        <w:t xml:space="preserve">ou :</w:t>
      </w:r>
    </w:p>
    <w:p>
      <w:pPr>
        <w:pStyle w:val="BodyText"/>
      </w:pPr>
      <w:r>
        <w:t xml:space="preserve">[</w:t>
      </w:r>
      <w:r>
        <w:t xml:space="preserve"> </w:t>
      </w:r>
      <w:r>
        <w:t xml:space="preserve"> </w:t>
      </w:r>
      <w:r>
        <w:t xml:space="preserve">]</w:t>
      </w:r>
    </w:p>
    <w:p>
      <w:pPr>
        <w:pStyle w:val="BodyText"/>
      </w:pPr>
      <w:r>
        <w:t xml:space="preserve">dans l’architecture cosmologique.</w:t>
      </w:r>
    </w:p>
    <w:p>
      <w:pPr>
        <w:pStyle w:val="BodyText"/>
      </w:pPr>
      <w:r>
        <w:t xml:space="preserve">Le terme reste utile, mais son rang baisse.</w:t>
      </w:r>
    </w:p>
    <w:bookmarkEnd w:id="30"/>
    <w:bookmarkStart w:id="31" w:name="nouveau-statut-de"/>
    <w:p>
      <w:pPr>
        <w:pStyle w:val="Heading2"/>
      </w:pPr>
      <w:r>
        <w:t xml:space="preserve">11. Nouveau statut de (</w:t>
      </w:r>
      <w:r>
        <w:t xml:space="preserve">)</w:t>
      </w:r>
    </w:p>
    <w:p>
      <w:pPr>
        <w:pStyle w:val="FirstParagraph"/>
      </w:pPr>
      <w:r>
        <w:t xml:space="preserve">(</w:t>
      </w:r>
      <w:r>
        <w:t xml:space="preserve">) doit être classée ainsi :</w:t>
      </w:r>
    </w:p>
    <w:p>
      <w:pPr>
        <w:pStyle w:val="BodyText"/>
      </w:pPr>
      <w:r>
        <w:t xml:space="preserve">Famille principale :</w:t>
      </w:r>
    </w:p>
    <w:p>
      <w:pPr>
        <w:pStyle w:val="BodyText"/>
      </w:pPr>
      <w:r>
        <w:t xml:space="preserve">[</w:t>
      </w:r>
      <w:r>
        <w:t xml:space="preserve"> </w:t>
      </w:r>
      <w:r>
        <w:t xml:space="preserve"> </w:t>
      </w:r>
      <w:r>
        <w:t xml:space="preserve">]</w:t>
      </w:r>
    </w:p>
    <w:p>
      <w:pPr>
        <w:pStyle w:val="BodyText"/>
      </w:pPr>
      <w:r>
        <w:t xml:space="preserve">selon la lecture choisie.</w:t>
      </w:r>
    </w:p>
    <w:p>
      <w:pPr>
        <w:pStyle w:val="BodyText"/>
      </w:pPr>
      <w:r>
        <w:t xml:space="preserve">Sous-type :</w:t>
      </w:r>
    </w:p>
    <w:p>
      <w:pPr>
        <w:pStyle w:val="BodyText"/>
      </w:pPr>
      <w:r>
        <w:t xml:space="preserve">[</w:t>
      </w:r>
      <w:r>
        <w:t xml:space="preserve"> </w:t>
      </w:r>
      <w:r>
        <w:t xml:space="preserve"> </w:t>
      </w:r>
      <w:r>
        <w:t xml:space="preserve">]</w:t>
      </w:r>
    </w:p>
    <w:p>
      <w:pPr>
        <w:pStyle w:val="BodyText"/>
      </w:pPr>
      <w:r>
        <w:t xml:space="preserve">Fonction architecturale :</w:t>
      </w:r>
    </w:p>
    <w:p>
      <w:pPr>
        <w:pStyle w:val="BodyText"/>
      </w:pPr>
      <w:r>
        <w:t xml:space="preserve">[</w:t>
      </w:r>
      <w:r>
        <w:t xml:space="preserve"> </w:t>
      </w:r>
      <w:r>
        <w:t xml:space="preserve"> </w:t>
      </w:r>
      <w:r>
        <w:t xml:space="preserve">]</w:t>
      </w:r>
    </w:p>
    <w:p>
      <w:pPr>
        <w:pStyle w:val="BodyText"/>
      </w:pPr>
      <w:r>
        <w:t xml:space="preserve">Architecture :</w:t>
      </w:r>
    </w:p>
    <w:p>
      <w:pPr>
        <w:pStyle w:val="BodyText"/>
      </w:pPr>
      <w:r>
        <w:t xml:space="preserve">[</w:t>
      </w:r>
      <w:r>
        <w:t xml:space="preserve"> </w:t>
      </w:r>
      <w:r>
        <w:t xml:space="preserve"> </w:t>
      </w:r>
      <w:r>
        <w:t xml:space="preserve">]</w:t>
      </w:r>
    </w:p>
    <w:p>
      <w:pPr>
        <w:pStyle w:val="BodyText"/>
      </w:pPr>
      <w:r>
        <w:t xml:space="preserve">Mode de stabilisation :</w:t>
      </w:r>
    </w:p>
    <w:p>
      <w:pPr>
        <w:pStyle w:val="BodyText"/>
      </w:pPr>
      <w:r>
        <w:t xml:space="preserve">[</w:t>
      </w:r>
      <w:r>
        <w:t xml:space="preserve"> </w:t>
      </w:r>
      <w:r>
        <w:t xml:space="preserve"> </w:t>
      </w:r>
      <w:r>
        <w:t xml:space="preserve">]</w:t>
      </w:r>
    </w:p>
    <w:p>
      <w:pPr>
        <w:pStyle w:val="BodyText"/>
      </w:pPr>
      <w:r>
        <w:t xml:space="preserve">mais :</w:t>
      </w:r>
    </w:p>
    <w:p>
      <w:pPr>
        <w:pStyle w:val="BodyText"/>
      </w:pPr>
      <w:r>
        <w:t xml:space="preserve">[</w:t>
      </w:r>
      <w:r>
        <w:t xml:space="preserve"> </w:t>
      </w:r>
      <w:r>
        <w:t xml:space="preserve"> </w:t>
      </w:r>
      <w:r>
        <w:t xml:space="preserve">]</w:t>
      </w:r>
    </w:p>
    <w:p>
      <w:pPr>
        <w:pStyle w:val="BodyText"/>
      </w:pPr>
      <w:r>
        <w:t xml:space="preserve">Formulation :</w:t>
      </w:r>
    </w:p>
    <w:p>
      <w:pPr>
        <w:pStyle w:val="BodyText"/>
      </w:pPr>
      <w:r>
        <w:rPr>
          <w:b/>
          <w:bCs/>
        </w:rPr>
        <w:t xml:space="preserve">(</w:t>
      </w:r>
      <w:r>
        <w:rPr>
          <w:b/>
          <w:bCs/>
        </w:rPr>
        <w:t xml:space="preserve">) est un terme de fond cosmologique dans l’architecture cosmologique ; sa valeur est fortement stabilisée comme paramètre de modèle dans (</w:t>
      </w:r>
      <w:r>
        <w:rPr>
          <w:b/>
          <w:bCs/>
        </w:rPr>
        <w:t xml:space="preserve">)CDM, mais son statut physique profond et son caractère strictement constant restent ouverts.</w:t>
      </w:r>
    </w:p>
    <w:p>
      <w:pPr>
        <w:pStyle w:val="BodyText"/>
      </w:pPr>
      <w:r>
        <w:t xml:space="preserve">Cette formulation est plus précise que</w:t>
      </w:r>
      <w:r>
        <w:t xml:space="preserve"> </w:t>
      </w:r>
      <w:r>
        <w:t xml:space="preserve">“(</w:t>
      </w:r>
      <w:r>
        <w:t xml:space="preserve">) appartient à la famille Fond”</w:t>
      </w:r>
      <w:r>
        <w:t xml:space="preserve">.</w:t>
      </w:r>
    </w:p>
    <w:bookmarkEnd w:id="31"/>
    <w:bookmarkStart w:id="32" w:name="architecture-cosmologique"/>
    <w:p>
      <w:pPr>
        <w:pStyle w:val="Heading2"/>
      </w:pPr>
      <w:r>
        <w:t xml:space="preserve">12. Architecture cosmologique</w:t>
      </w:r>
    </w:p>
    <w:p>
      <w:pPr>
        <w:pStyle w:val="FirstParagraph"/>
      </w:pPr>
      <w:r>
        <w:t xml:space="preserve">Le test impose d’intégrer l’architecture cosmologique, mais avec prudence.</w:t>
      </w:r>
    </w:p>
    <w:p>
      <w:pPr>
        <w:pStyle w:val="BodyText"/>
      </w:pPr>
      <w:r>
        <w:t xml:space="preserve">Définition proposée :</w:t>
      </w:r>
    </w:p>
    <w:p>
      <w:pPr>
        <w:pStyle w:val="BodyText"/>
      </w:pPr>
      <w:r>
        <w:rPr>
          <w:b/>
          <w:bCs/>
        </w:rPr>
        <w:t xml:space="preserve">L’architecture cosmologique est une configuration inter-familles qui articule des paramètres de fond, des densités normalisées, des taux d’expansion, des conditions initiales, des observables reconstruites et des hypothèses dynamiques dans un modèle d’évolution globale de l’univers.</w:t>
      </w:r>
    </w:p>
    <w:p>
      <w:pPr>
        <w:pStyle w:val="BodyText"/>
      </w:pPr>
      <w:r>
        <w:t xml:space="preserve">Elle combine au minimum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Ce n’est pas une famille. C’est une architecture.</w:t>
      </w:r>
    </w:p>
    <w:bookmarkEnd w:id="32"/>
    <w:bookmarkStart w:id="33" w:name="détail-de-larchitecture-cosmologique"/>
    <w:p>
      <w:pPr>
        <w:pStyle w:val="Heading2"/>
      </w:pPr>
      <w:r>
        <w:t xml:space="preserve">13. Détail de l’architecture cosmologique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Élément</w:t>
            </w:r>
          </w:p>
        </w:tc>
        <w:tc>
          <w:tcPr/>
          <w:p>
            <w:pPr>
              <w:pStyle w:val="Compact"/>
            </w:pPr>
            <w:r>
              <w:t xml:space="preserve">Type</w:t>
            </w:r>
          </w:p>
        </w:tc>
        <w:tc>
          <w:tcPr/>
          <w:p>
            <w:pPr>
              <w:pStyle w:val="Compact"/>
            </w:pPr>
            <w:r>
              <w:t xml:space="preserve">Fonction</w:t>
            </w:r>
          </w:p>
        </w:tc>
      </w:tr>
      <w:tr>
        <w:tc>
          <w:tcPr/>
          <w:p>
            <w:pPr>
              <w:pStyle w:val="Compact"/>
            </w:pPr>
            <w:r>
              <w:t xml:space="preserve">(</w:t>
            </w:r>
            <w:r>
              <w:t xml:space="preserve">)</w:t>
            </w:r>
          </w:p>
        </w:tc>
        <w:tc>
          <w:tcPr/>
          <w:p>
            <w:pPr>
              <w:pStyle w:val="Compact"/>
            </w:pPr>
            <w:r>
              <w:t xml:space="preserve">Terme de fond / paramètre</w:t>
            </w:r>
          </w:p>
        </w:tc>
        <w:tc>
          <w:tcPr/>
          <w:p>
            <w:pPr>
              <w:pStyle w:val="Compact"/>
            </w:pPr>
            <w:r>
              <w:t xml:space="preserve">Structurer l’accélération cosmique dans (</w:t>
            </w:r>
            <w:r>
              <w:t xml:space="preserve">)CDM</w:t>
            </w:r>
          </w:p>
        </w:tc>
      </w:tr>
      <w:tr>
        <w:tc>
          <w:tcPr/>
          <w:p>
            <w:pPr>
              <w:pStyle w:val="Compact"/>
            </w:pPr>
            <w:r>
              <w:t xml:space="preserve">(H_0)</w:t>
            </w:r>
          </w:p>
        </w:tc>
        <w:tc>
          <w:tcPr/>
          <w:p>
            <w:pPr>
              <w:pStyle w:val="Compact"/>
            </w:pPr>
            <w:r>
              <w:t xml:space="preserve">Paramètre d’état actuel</w:t>
            </w:r>
          </w:p>
        </w:tc>
        <w:tc>
          <w:tcPr/>
          <w:p>
            <w:pPr>
              <w:pStyle w:val="Compact"/>
            </w:pPr>
            <w:r>
              <w:t xml:space="preserve">Fixer le taux d’expansion présent</w:t>
            </w:r>
          </w:p>
        </w:tc>
      </w:tr>
      <w:tr>
        <w:tc>
          <w:tcPr/>
          <w:p>
            <w:pPr>
              <w:pStyle w:val="Compact"/>
            </w:pPr>
            <w:r>
              <w:t xml:space="preserve">(</w:t>
            </w:r>
            <w:r>
              <w:t xml:space="preserve">_m)</w:t>
            </w:r>
          </w:p>
        </w:tc>
        <w:tc>
          <w:tcPr/>
          <w:p>
            <w:pPr>
              <w:pStyle w:val="Compact"/>
            </w:pPr>
            <w:r>
              <w:t xml:space="preserve">Densité normalisée</w:t>
            </w:r>
          </w:p>
        </w:tc>
        <w:tc>
          <w:tcPr/>
          <w:p>
            <w:pPr>
              <w:pStyle w:val="Compact"/>
            </w:pPr>
            <w:r>
              <w:t xml:space="preserve">Donner la fraction de matière</w:t>
            </w:r>
          </w:p>
        </w:tc>
      </w:tr>
      <w:tr>
        <w:tc>
          <w:tcPr/>
          <w:p>
            <w:pPr>
              <w:pStyle w:val="Compact"/>
            </w:pPr>
            <w:r>
              <w:t xml:space="preserve">(</w:t>
            </w:r>
            <w:r>
              <w:t xml:space="preserve">_</w:t>
            </w:r>
            <w:r>
              <w:t xml:space="preserve">)</w:t>
            </w:r>
          </w:p>
        </w:tc>
        <w:tc>
          <w:tcPr/>
          <w:p>
            <w:pPr>
              <w:pStyle w:val="Compact"/>
            </w:pPr>
            <w:r>
              <w:t xml:space="preserve">Densité normalisée</w:t>
            </w:r>
          </w:p>
        </w:tc>
        <w:tc>
          <w:tcPr/>
          <w:p>
            <w:pPr>
              <w:pStyle w:val="Compact"/>
            </w:pPr>
            <w:r>
              <w:t xml:space="preserve">Donner la fraction associée à (</w:t>
            </w:r>
            <w:r>
              <w:t xml:space="preserve">)</w:t>
            </w:r>
          </w:p>
        </w:tc>
      </w:tr>
      <w:tr>
        <w:tc>
          <w:tcPr/>
          <w:p>
            <w:pPr>
              <w:pStyle w:val="Compact"/>
            </w:pPr>
            <w:r>
              <w:t xml:space="preserve">(w)</w:t>
            </w:r>
          </w:p>
        </w:tc>
        <w:tc>
          <w:tcPr/>
          <w:p>
            <w:pPr>
              <w:pStyle w:val="Compact"/>
            </w:pPr>
            <w:r>
              <w:t xml:space="preserve">Relation pression/densité</w:t>
            </w:r>
          </w:p>
        </w:tc>
        <w:tc>
          <w:tcPr/>
          <w:p>
            <w:pPr>
              <w:pStyle w:val="Compact"/>
            </w:pPr>
            <w:r>
              <w:t xml:space="preserve">Tester le comportement de l’énergie noire</w:t>
            </w:r>
          </w:p>
        </w:tc>
      </w:tr>
      <w:tr>
        <w:tc>
          <w:tcPr/>
          <w:p>
            <w:pPr>
              <w:pStyle w:val="Compact"/>
            </w:pPr>
            <w:r>
              <w:t xml:space="preserve">(A_s)</w:t>
            </w:r>
          </w:p>
        </w:tc>
        <w:tc>
          <w:tcPr/>
          <w:p>
            <w:pPr>
              <w:pStyle w:val="Compact"/>
            </w:pPr>
            <w:r>
              <w:t xml:space="preserve">Amplitude primordiale</w:t>
            </w:r>
          </w:p>
        </w:tc>
        <w:tc>
          <w:tcPr/>
          <w:p>
            <w:pPr>
              <w:pStyle w:val="Compact"/>
            </w:pPr>
            <w:r>
              <w:t xml:space="preserve">Fixer l’amplitude des perturbations initiales</w:t>
            </w:r>
          </w:p>
        </w:tc>
      </w:tr>
      <w:tr>
        <w:tc>
          <w:tcPr/>
          <w:p>
            <w:pPr>
              <w:pStyle w:val="Compact"/>
            </w:pPr>
            <w:r>
              <w:t xml:space="preserve">(n_s)</w:t>
            </w:r>
          </w:p>
        </w:tc>
        <w:tc>
          <w:tcPr/>
          <w:p>
            <w:pPr>
              <w:pStyle w:val="Compact"/>
            </w:pPr>
            <w:r>
              <w:t xml:space="preserve">Indice spectral</w:t>
            </w:r>
          </w:p>
        </w:tc>
        <w:tc>
          <w:tcPr/>
          <w:p>
            <w:pPr>
              <w:pStyle w:val="Compact"/>
            </w:pPr>
            <w:r>
              <w:t xml:space="preserve">Décrire l’échelle-dépendance du spectre primordial</w:t>
            </w:r>
          </w:p>
        </w:tc>
      </w:tr>
      <w:tr>
        <w:tc>
          <w:tcPr/>
          <w:p>
            <w:pPr>
              <w:pStyle w:val="Compact"/>
            </w:pPr>
            <w:r>
              <w:t xml:space="preserve">(</w:t>
            </w:r>
            <w:r>
              <w:t xml:space="preserve">_8), (S_8)</w:t>
            </w:r>
          </w:p>
        </w:tc>
        <w:tc>
          <w:tcPr/>
          <w:p>
            <w:pPr>
              <w:pStyle w:val="Compact"/>
            </w:pPr>
            <w:r>
              <w:t xml:space="preserve">Amplitude de structure tardive</w:t>
            </w:r>
          </w:p>
        </w:tc>
        <w:tc>
          <w:tcPr/>
          <w:p>
            <w:pPr>
              <w:pStyle w:val="Compact"/>
            </w:pPr>
            <w:r>
              <w:t xml:space="preserve">Tester la croissance des structures</w:t>
            </w:r>
          </w:p>
        </w:tc>
      </w:tr>
    </w:tbl>
    <w:p>
      <w:pPr>
        <w:pStyle w:val="BodyText"/>
      </w:pPr>
      <w:r>
        <w:t xml:space="preserve">Cette table montre pourquoi</w:t>
      </w:r>
      <w:r>
        <w:t xml:space="preserve"> </w:t>
      </w:r>
      <w:r>
        <w:t xml:space="preserve">“Fond”</w:t>
      </w:r>
      <w:r>
        <w:t xml:space="preserve"> </w:t>
      </w:r>
      <w:r>
        <w:t xml:space="preserve">ne peut pas absorber tout le domaine.</w:t>
      </w:r>
    </w:p>
    <w:bookmarkEnd w:id="33"/>
    <w:bookmarkStart w:id="34" w:name="desi-et-le-statut-actuel-de"/>
    <w:p>
      <w:pPr>
        <w:pStyle w:val="Heading2"/>
      </w:pPr>
      <w:r>
        <w:t xml:space="preserve">14. DESI et le statut actuel de (</w:t>
      </w:r>
      <w:r>
        <w:t xml:space="preserve">)</w:t>
      </w:r>
    </w:p>
    <w:p>
      <w:pPr>
        <w:pStyle w:val="FirstParagraph"/>
      </w:pPr>
      <w:r>
        <w:t xml:space="preserve">Les résultats DESI DR2 renforcent la prudence.</w:t>
      </w:r>
    </w:p>
    <w:p>
      <w:pPr>
        <w:pStyle w:val="BodyText"/>
      </w:pPr>
      <w:r>
        <w:t xml:space="preserve">D’un côté, les résultats BAO de DESI DR2 sont bien décrits par un modèle plat (</w:t>
      </w:r>
      <w:r>
        <w:t xml:space="preserve">)CDM. De l’autre, les combinaisons DESI + CMB + supernovae peuvent préférer des modèles d’énergie noire dynamique, avec une préférence allant de (2{,}8</w:t>
      </w:r>
      <w:r>
        <w:t xml:space="preserve">) à (4{,}2</w:t>
      </w:r>
      <w:r>
        <w:t xml:space="preserve">) selon l’échantillon de supernovae utilisé.</w:t>
      </w:r>
    </w:p>
    <w:p>
      <w:pPr>
        <w:pStyle w:val="BodyText"/>
      </w:pPr>
      <w:r>
        <w:t xml:space="preserve">Cela ne signifie pas que (</w:t>
      </w:r>
      <w:r>
        <w:t xml:space="preserve">)CDM est abandonné. Cela signifie que le statut de (</w:t>
      </w:r>
      <w:r>
        <w:t xml:space="preserve">) comme fond strictement constant est précisément sous test.</w:t>
      </w:r>
    </w:p>
    <w:p>
      <w:pPr>
        <w:pStyle w:val="BodyText"/>
      </w:pPr>
      <w:r>
        <w:t xml:space="preserve">Certains travaux récents contestent aussi la robustesse directe de l’interprétation</w:t>
      </w:r>
      <w:r>
        <w:t xml:space="preserve"> </w:t>
      </w:r>
      <w:r>
        <w:t xml:space="preserve">“énergie noire dynamique”</w:t>
      </w:r>
      <w:r>
        <w:t xml:space="preserve">, en soulignant des tensions entre ensembles de données ou des dépendances aux combinaisons choisies.</w:t>
      </w:r>
    </w:p>
    <w:p>
      <w:pPr>
        <w:pStyle w:val="BodyText"/>
      </w:pPr>
      <w:r>
        <w:t xml:space="preserve">La bonne formulation méthodologique est donc :</w:t>
      </w:r>
    </w:p>
    <w:p>
      <w:pPr>
        <w:pStyle w:val="BodyText"/>
      </w:pPr>
      <w:r>
        <w:rPr>
          <w:b/>
          <w:bCs/>
        </w:rPr>
        <w:t xml:space="preserve">(</w:t>
      </w:r>
      <w:r>
        <w:rPr>
          <w:b/>
          <w:bCs/>
        </w:rPr>
        <w:t xml:space="preserve">) est fortement stabilisée comme terme de modèle dans (</w:t>
      </w:r>
      <w:r>
        <w:rPr>
          <w:b/>
          <w:bCs/>
        </w:rPr>
        <w:t xml:space="preserve">)CDM, mais la question</w:t>
      </w:r>
      <w:r>
        <w:rPr>
          <w:b/>
          <w:bCs/>
        </w:rPr>
        <w:t xml:space="preserve"> </w:t>
      </w:r>
      <w:r>
        <w:rPr>
          <w:b/>
          <w:bCs/>
        </w:rPr>
        <w:t xml:space="preserve">“fond strictement constant ou dynamique effective”</w:t>
      </w:r>
      <w:r>
        <w:rPr>
          <w:b/>
          <w:bCs/>
        </w:rPr>
        <w:t xml:space="preserve"> </w:t>
      </w:r>
      <w:r>
        <w:rPr>
          <w:b/>
          <w:bCs/>
        </w:rPr>
        <w:t xml:space="preserve">reste ouverte dans les analyses récentes.</w:t>
      </w:r>
    </w:p>
    <w:bookmarkEnd w:id="34"/>
    <w:bookmarkStart w:id="35" w:name="verdict-sur-fond"/>
    <w:p>
      <w:pPr>
        <w:pStyle w:val="Heading2"/>
      </w:pPr>
      <w:r>
        <w:t xml:space="preserve">15. Verdict sur Fond</w:t>
      </w:r>
    </w:p>
    <w:p>
      <w:pPr>
        <w:pStyle w:val="FirstParagraph"/>
      </w:pPr>
      <w:r>
        <w:t xml:space="preserve">Le verdict est le suivant :</w:t>
      </w:r>
    </w:p>
    <w:p>
      <w:pPr>
        <w:pStyle w:val="BodyText"/>
      </w:pPr>
      <w:r>
        <w:t xml:space="preserve">[</w:t>
      </w:r>
      <w:r>
        <w:t xml:space="preserve"> </w:t>
      </w:r>
      <w:r>
        <w:t xml:space="preserve"> </w:t>
      </w:r>
      <w:r>
        <w:t xml:space="preserve">]</w:t>
      </w:r>
    </w:p>
    <w:p>
      <w:pPr>
        <w:pStyle w:val="BodyText"/>
      </w:pPr>
      <w:r>
        <w:t xml:space="preserve">ne doit plus être une famille supérieure autonome.</w:t>
      </w:r>
    </w:p>
    <w:p>
      <w:pPr>
        <w:pStyle w:val="BodyText"/>
      </w:pPr>
      <w:r>
        <w:t xml:space="preserve">Il doit être rétrogradé en :</w:t>
      </w:r>
    </w:p>
    <w:p>
      <w:pPr>
        <w:pStyle w:val="BodyText"/>
      </w:pPr>
      <w:r>
        <w:t xml:space="preserve">[</w:t>
      </w:r>
      <w:r>
        <w:t xml:space="preserve"> </w:t>
      </w:r>
      <w:r>
        <w:t xml:space="preserve"> </w:t>
      </w:r>
      <w:r>
        <w:t xml:space="preserve">]</w:t>
      </w:r>
    </w:p>
    <w:p>
      <w:pPr>
        <w:pStyle w:val="BodyText"/>
      </w:pPr>
      <w:r>
        <w:t xml:space="preserve">dans l’architecture cosmologique.</w:t>
      </w:r>
    </w:p>
    <w:p>
      <w:pPr>
        <w:pStyle w:val="BodyText"/>
      </w:pPr>
      <w:r>
        <w:t xml:space="preserve">Le cas (</w:t>
      </w:r>
      <w:r>
        <w:t xml:space="preserve">) reste central, mais il ne suffit pas à fonder une famille générale.</w:t>
      </w:r>
    </w:p>
    <w:p>
      <w:pPr>
        <w:pStyle w:val="BodyText"/>
      </w:pPr>
      <w:r>
        <w:t xml:space="preserve">La carte gagne en compression :</w:t>
      </w:r>
    </w:p>
    <w:p>
      <w:pPr>
        <w:pStyle w:val="BodyText"/>
      </w:pPr>
      <w:r>
        <w:t xml:space="preserve">[</w:t>
      </w:r>
      <w:r>
        <w:t xml:space="preserve"> </w:t>
      </w:r>
      <w:r>
        <w:t xml:space="preserve"> </w:t>
      </w:r>
      <w:r>
        <w:t xml:space="preserve">]</w:t>
      </w:r>
    </w:p>
    <w:p>
      <w:pPr>
        <w:pStyle w:val="BodyText"/>
      </w:pPr>
      <w:r>
        <w:t xml:space="preserve">rejoint :</w:t>
      </w:r>
    </w:p>
    <w:p>
      <w:pPr>
        <w:pStyle w:val="BodyText"/>
      </w:pPr>
      <w:r>
        <w:t xml:space="preserve">[</w:t>
      </w:r>
      <w:r>
        <w:t xml:space="preserve"> </w:t>
      </w:r>
      <w:r>
        <w:t xml:space="preserve"> </w:t>
      </w:r>
      <w:r>
        <w:t xml:space="preserve">]</w:t>
      </w:r>
    </w:p>
    <w:p>
      <w:pPr>
        <w:pStyle w:val="BodyText"/>
      </w:pPr>
      <w:r>
        <w:t xml:space="preserve">dans les distinctions utiles mais placées trop haut initialement.</w:t>
      </w:r>
    </w:p>
    <w:bookmarkEnd w:id="35"/>
    <w:bookmarkStart w:id="36" w:name="carte-révisée-après-test-de-fond"/>
    <w:p>
      <w:pPr>
        <w:pStyle w:val="Heading2"/>
      </w:pPr>
      <w:r>
        <w:t xml:space="preserve">16. Carte révisée après test de Fond</w:t>
      </w:r>
    </w:p>
    <w:p>
      <w:pPr>
        <w:pStyle w:val="FirstParagraph"/>
      </w:pPr>
      <w:r>
        <w:t xml:space="preserve">Les familles supérieures deviennent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La famille Fond disparaît du niveau supérieur.</w:t>
      </w:r>
    </w:p>
    <w:p>
      <w:pPr>
        <w:pStyle w:val="BodyText"/>
      </w:pPr>
      <w:r>
        <w:t xml:space="preserve">Elle devient une fonction architecturale propre à certains modèles cosmologiques :</w:t>
      </w:r>
    </w:p>
    <w:p>
      <w:pPr>
        <w:pStyle w:val="BodyText"/>
      </w:pPr>
      <w:r>
        <w:t xml:space="preserve">[</w:t>
      </w:r>
      <w:r>
        <w:t xml:space="preserve"> </w:t>
      </w:r>
      <w:r>
        <w:t xml:space="preserve"> </w:t>
      </w:r>
      <w:r>
        <w:t xml:space="preserve">]</w:t>
      </w:r>
    </w:p>
    <w:p>
      <w:pPr>
        <w:pStyle w:val="BodyText"/>
      </w:pPr>
      <w:r>
        <w:t xml:space="preserve">ou :</w:t>
      </w:r>
    </w:p>
    <w:p>
      <w:pPr>
        <w:pStyle w:val="BodyText"/>
      </w:pPr>
      <w:r>
        <w:t xml:space="preserve">[</w:t>
      </w:r>
      <w:r>
        <w:t xml:space="preserve"> </w:t>
      </w:r>
      <w:r>
        <w:t xml:space="preserve"> </w:t>
      </w:r>
      <w:r>
        <w:t xml:space="preserve">]</w:t>
      </w:r>
    </w:p>
    <w:bookmarkEnd w:id="36"/>
    <w:bookmarkStart w:id="39" w:name="X76ebd458d09bceb9d0c05e4e2fb24c7c3fda4c9"/>
    <w:p>
      <w:pPr>
        <w:pStyle w:val="Heading2"/>
      </w:pPr>
      <w:r>
        <w:t xml:space="preserve">17. Fonctions transversales et architecturales révisées</w:t>
      </w:r>
    </w:p>
    <w:p>
      <w:pPr>
        <w:pStyle w:val="FirstParagraph"/>
      </w:pPr>
      <w:r>
        <w:t xml:space="preserve">Après les tests de Seuil et de Fond, la carte doit distinguer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bookmarkStart w:id="37" w:name="fonctions-transversales"/>
    <w:p>
      <w:pPr>
        <w:pStyle w:val="Heading3"/>
      </w:pPr>
      <w:r>
        <w:t xml:space="preserve">17.1 Fonctions transversales</w:t>
      </w:r>
    </w:p>
    <w:p>
      <w:pPr>
        <w:pStyle w:val="FirstParagraph"/>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bookmarkEnd w:id="37"/>
    <w:bookmarkStart w:id="38" w:name="fonctions-architecturales"/>
    <w:p>
      <w:pPr>
        <w:pStyle w:val="Heading3"/>
      </w:pPr>
      <w:r>
        <w:t xml:space="preserve">17.2 Fonctions architecturales</w:t>
      </w:r>
    </w:p>
    <w:p>
      <w:pPr>
        <w:pStyle w:val="FirstParagraph"/>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Ces fonctions ne sont pas des familles supérieures. Elles décrivent des rôles dans une architecture.</w:t>
      </w:r>
    </w:p>
    <w:bookmarkEnd w:id="38"/>
    <w:bookmarkEnd w:id="39"/>
    <w:bookmarkStart w:id="40" w:name="architecture-cosmologique-statut"/>
    <w:p>
      <w:pPr>
        <w:pStyle w:val="Heading2"/>
      </w:pPr>
      <w:r>
        <w:t xml:space="preserve">18. Architecture cosmologique : statut</w:t>
      </w:r>
    </w:p>
    <w:p>
      <w:pPr>
        <w:pStyle w:val="FirstParagraph"/>
      </w:pPr>
      <w:r>
        <w:t xml:space="preserve">L’architecture cosmologique doit maintenant être intégrée comme architecture candidate forte.</w:t>
      </w:r>
    </w:p>
    <w:p>
      <w:pPr>
        <w:pStyle w:val="BodyText"/>
      </w:pPr>
      <w:r>
        <w:t xml:space="preserve">Elle n’est plus seulement une possibilité vague.</w:t>
      </w:r>
    </w:p>
    <w:p>
      <w:pPr>
        <w:pStyle w:val="BodyText"/>
      </w:pPr>
      <w:r>
        <w:t xml:space="preserve">Elle devient nécessaire pour classer correctement (</w:t>
      </w:r>
      <w:r>
        <w:t xml:space="preserve">), (H_0), (</w:t>
      </w:r>
      <w:r>
        <w:t xml:space="preserve">_m), (w), (A_s), (n_s), (</w:t>
      </w:r>
      <w:r>
        <w:t xml:space="preserve">_8).</w:t>
      </w:r>
    </w:p>
    <w:p>
      <w:pPr>
        <w:pStyle w:val="BodyText"/>
      </w:pPr>
      <w:r>
        <w:t xml:space="preserve">Mais elle doit rester marquée comme délicate, parce que son contenu mélange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Son statut est donc :</w:t>
      </w:r>
    </w:p>
    <w:p>
      <w:pPr>
        <w:pStyle w:val="BodyText"/>
      </w:pPr>
      <w:r>
        <w:t xml:space="preserve">[</w:t>
      </w:r>
      <w:r>
        <w:t xml:space="preserve"> </w:t>
      </w:r>
      <w:r>
        <w:t xml:space="preserve"> </w:t>
      </w:r>
      <w:r>
        <w:t xml:space="preserve">]</w:t>
      </w:r>
    </w:p>
    <w:p>
      <w:pPr>
        <w:pStyle w:val="BodyText"/>
      </w:pPr>
      <w:r>
        <w:t xml:space="preserve">mais :</w:t>
      </w:r>
    </w:p>
    <w:p>
      <w:pPr>
        <w:pStyle w:val="BodyText"/>
      </w:pPr>
      <w:r>
        <w:t xml:space="preserve">[</w:t>
      </w:r>
      <w:r>
        <w:t xml:space="preserve"> </w:t>
      </w:r>
      <w:r>
        <w:t xml:space="preserve"> </w:t>
      </w:r>
      <w:r>
        <w:t xml:space="preserve">]</w:t>
      </w:r>
    </w:p>
    <w:bookmarkEnd w:id="40"/>
    <w:bookmarkStart w:id="41" w:name="résultat-du-test"/>
    <w:p>
      <w:pPr>
        <w:pStyle w:val="Heading2"/>
      </w:pPr>
      <w:r>
        <w:t xml:space="preserve">19. Résultat du test</w:t>
      </w:r>
    </w:p>
    <w:p>
      <w:pPr>
        <w:pStyle w:val="FirstParagraph"/>
      </w:pPr>
      <w:r>
        <w:t xml:space="preserve">Le test tranche comme suit.</w:t>
      </w:r>
    </w:p>
    <w:p>
      <w:pPr>
        <w:pStyle w:val="BodyText"/>
      </w:pPr>
      <w:r>
        <w:t xml:space="preserve">Option A :</w:t>
      </w:r>
    </w:p>
    <w:p>
      <w:pPr>
        <w:pStyle w:val="BodyText"/>
      </w:pPr>
      <w:r>
        <w:t xml:space="preserve">[</w:t>
      </w:r>
      <w:r>
        <w:t xml:space="preserve"> </w:t>
      </w:r>
      <w:r>
        <w:t xml:space="preserve"> </w:t>
      </w:r>
      <w:r>
        <w:t xml:space="preserve">]</w:t>
      </w:r>
    </w:p>
    <w:p>
      <w:pPr>
        <w:pStyle w:val="BodyText"/>
      </w:pPr>
      <w:r>
        <w:t xml:space="preserve">Option B :</w:t>
      </w:r>
    </w:p>
    <w:p>
      <w:pPr>
        <w:pStyle w:val="BodyText"/>
      </w:pPr>
      <w:r>
        <w:t xml:space="preserve">[</w:t>
      </w:r>
      <w:r>
        <w:t xml:space="preserve"> </w:t>
      </w:r>
      <w:r>
        <w:t xml:space="preserve"> </w:t>
      </w:r>
      <w:r>
        <w:t xml:space="preserve">]</w:t>
      </w:r>
    </w:p>
    <w:p>
      <w:pPr>
        <w:pStyle w:val="BodyText"/>
      </w:pPr>
      <w:r>
        <w:t xml:space="preserve">Le résultat soutient l’option B.</w:t>
      </w:r>
    </w:p>
    <w:p>
      <w:pPr>
        <w:pStyle w:val="BodyText"/>
      </w:pPr>
      <w:r>
        <w:t xml:space="preserve">Fond est une fonction réelle, mais elle n’a pas la généralité taxonomique d’une famille supérieure.</w:t>
      </w:r>
    </w:p>
    <w:p>
      <w:pPr>
        <w:pStyle w:val="BodyText"/>
      </w:pPr>
      <w:r>
        <w:t xml:space="preserve">La formulation finale est :</w:t>
      </w:r>
    </w:p>
    <w:p>
      <w:pPr>
        <w:pStyle w:val="BodyText"/>
      </w:pPr>
      <w:r>
        <w:rPr>
          <w:b/>
          <w:bCs/>
        </w:rPr>
        <w:t xml:space="preserve">Le fond n’est pas une famille de constantes ; c’est une fonction architecturale propre à certains modèles globaux.</w:t>
      </w:r>
    </w:p>
    <w:bookmarkEnd w:id="41"/>
    <w:bookmarkStart w:id="42" w:name="effet-sur-la-définition-générale"/>
    <w:p>
      <w:pPr>
        <w:pStyle w:val="Heading2"/>
      </w:pPr>
      <w:r>
        <w:t xml:space="preserve">20. Effet sur la définition générale</w:t>
      </w:r>
    </w:p>
    <w:p>
      <w:pPr>
        <w:pStyle w:val="FirstParagraph"/>
      </w:pPr>
      <w:r>
        <w:t xml:space="preserve">La définition générale ne change pas radicalement, mais la carte gagne un niveau de précision.</w:t>
      </w:r>
    </w:p>
    <w:p>
      <w:pPr>
        <w:pStyle w:val="BodyText"/>
      </w:pPr>
      <w:r>
        <w:t xml:space="preserve">Formulation révisée :</w:t>
      </w:r>
    </w:p>
    <w:p>
      <w:pPr>
        <w:pStyle w:val="BodyText"/>
      </w:pPr>
      <w:r>
        <w:rPr>
          <w:b/>
          <w:bCs/>
        </w:rPr>
        <w:t xml:space="preserve">Une constante effective stabilisée est une grandeur qui acquiert une robustesse de valeur, de relation, d’orientation ou de fonction dans un régime déterminé. Cette robustesse doit être analysée selon sa famille fonctionnelle, ses fonctions transversales ou architecturales, son régime de définition, son régime d’accès, son mode de stabilisation et son appartenance éventuelle à une architecture inter-familles.</w:t>
      </w:r>
    </w:p>
    <w:p>
      <w:pPr>
        <w:pStyle w:val="BodyText"/>
      </w:pPr>
      <w:r>
        <w:t xml:space="preserve">Le mot</w:t>
      </w:r>
      <w:r>
        <w:t xml:space="preserve"> </w:t>
      </w:r>
      <w:r>
        <w:t xml:space="preserve">“fond”</w:t>
      </w:r>
      <w:r>
        <w:t xml:space="preserve"> </w:t>
      </w:r>
      <w:r>
        <w:t xml:space="preserve">ne disparaît pas. Il change de place.</w:t>
      </w:r>
    </w:p>
    <w:bookmarkEnd w:id="42"/>
    <w:bookmarkStart w:id="43" w:name="bilan-après-seuil-et-fond"/>
    <w:p>
      <w:pPr>
        <w:pStyle w:val="Heading2"/>
      </w:pPr>
      <w:r>
        <w:t xml:space="preserve">21. Bilan après Seuil et Fond</w:t>
      </w:r>
    </w:p>
    <w:p>
      <w:pPr>
        <w:pStyle w:val="FirstParagraph"/>
      </w:pPr>
      <w:r>
        <w:t xml:space="preserve">Les deux tests produisent une correction commune.</w:t>
      </w:r>
    </w:p>
    <w:p>
      <w:pPr>
        <w:pStyle w:val="BodyText"/>
      </w:pPr>
      <w:r>
        <w:t xml:space="preserve">[</w:t>
      </w:r>
      <w:r>
        <w:t xml:space="preserve"> </w:t>
      </w:r>
      <w:r>
        <w:t xml:space="preserve"> </w:t>
      </w:r>
      <w:r>
        <w:t xml:space="preserve">]</w:t>
      </w:r>
    </w:p>
    <w:p>
      <w:pPr>
        <w:pStyle w:val="BodyText"/>
      </w:pPr>
      <w:r>
        <w:t xml:space="preserve">était une fonction transversale placée trop haut.</w:t>
      </w:r>
    </w:p>
    <w:p>
      <w:pPr>
        <w:pStyle w:val="BodyText"/>
      </w:pPr>
      <w:r>
        <w:t xml:space="preserve">[</w:t>
      </w:r>
      <w:r>
        <w:t xml:space="preserve"> </w:t>
      </w:r>
      <w:r>
        <w:t xml:space="preserve"> </w:t>
      </w:r>
      <w:r>
        <w:t xml:space="preserve">]</w:t>
      </w:r>
    </w:p>
    <w:p>
      <w:pPr>
        <w:pStyle w:val="BodyText"/>
      </w:pPr>
      <w:r>
        <w:t xml:space="preserve">était une fonction architecturale placée trop haut.</w:t>
      </w:r>
    </w:p>
    <w:p>
      <w:pPr>
        <w:pStyle w:val="BodyText"/>
      </w:pPr>
      <w:r>
        <w:t xml:space="preserve">Les familles supérieures sont donc plus compactes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Il reste une seule famille faible :</w:t>
      </w:r>
    </w:p>
    <w:p>
      <w:pPr>
        <w:pStyle w:val="BodyText"/>
      </w:pPr>
      <w:r>
        <w:t xml:space="preserve">[</w:t>
      </w:r>
      <w:r>
        <w:t xml:space="preserve"> </w:t>
      </w:r>
      <w:r>
        <w:t xml:space="preserve"> </w:t>
      </w:r>
      <w:r>
        <w:t xml:space="preserve">]</w:t>
      </w:r>
    </w:p>
    <w:p>
      <w:pPr>
        <w:pStyle w:val="BodyText"/>
      </w:pPr>
      <w:r>
        <w:t xml:space="preserve">mais elle survit comme famille transversale qualifiée.</w:t>
      </w:r>
    </w:p>
    <w:bookmarkEnd w:id="43"/>
    <w:bookmarkStart w:id="44" w:name="formule-de-clôture"/>
    <w:p>
      <w:pPr>
        <w:pStyle w:val="Heading2"/>
      </w:pPr>
      <w:r>
        <w:t xml:space="preserve">22. Formule de clôture</w:t>
      </w:r>
    </w:p>
    <w:p>
      <w:pPr>
        <w:pStyle w:val="FirstParagraph"/>
      </w:pPr>
      <w:r>
        <w:t xml:space="preserve">La formule de clôture est :</w:t>
      </w:r>
    </w:p>
    <w:p>
      <w:pPr>
        <w:pStyle w:val="BodyText"/>
      </w:pPr>
      <w:r>
        <w:rPr>
          <w:b/>
          <w:bCs/>
        </w:rPr>
        <w:t xml:space="preserve">Le fond n’est pas une case où ranger la cosmologie ; c’est le rôle que certains paramètres jouent dans une architecture globale.</w:t>
      </w:r>
    </w:p>
    <w:p>
      <w:pPr>
        <w:pStyle w:val="BodyText"/>
      </w:pPr>
      <w:r>
        <w:t xml:space="preserve">Formule condensée :</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et non :</w:t>
      </w:r>
    </w:p>
    <w:p>
      <w:pPr>
        <w:pStyle w:val="BodyText"/>
      </w:pPr>
      <w:r>
        <w:t xml:space="preserve">[</w:t>
      </w:r>
      <w:r>
        <w:t xml:space="preserve"> </w:t>
      </w:r>
      <w:r>
        <w:t xml:space="preserve"> </w:t>
      </w:r>
      <w:r>
        <w:t xml:space="preserve">]</w:t>
      </w:r>
    </w:p>
    <w:p>
      <w:pPr>
        <w:pStyle w:val="BodyText"/>
      </w:pPr>
      <w:r>
        <w:t xml:space="preserve">Cette rétrogradation renforce la carte : elle empêche de confondre (</w:t>
      </w:r>
      <w:r>
        <w:t xml:space="preserve">) avec toute la cosmologie.</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2026-07-09T06:32:55Z</dcterms:created>
  <dcterms:modified xsi:type="dcterms:W3CDTF">2026-07-09T06:32:55Z</dcterms:modified>
</cp:coreProperties>
</file>

<file path=docProps/custom.xml><?xml version="1.0" encoding="utf-8"?>
<Properties xmlns="http://schemas.openxmlformats.org/officeDocument/2006/custom-properties" xmlns:vt="http://schemas.openxmlformats.org/officeDocument/2006/docPropsVTypes"/>
</file>