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791335902aa40b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dbd8c994ecb94ed7"/>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rFonts w:ascii="Garamond" w:hAnsi="Garamond"/>
          <w:color w:val="1e3a5f"/>
          <w:sz w:val="72"/>
        </w:rPr>
        <w:t>Le motif de la</w:t>
      </w:r>
    </w:p>
    <w:p>
      <w:pPr>
        <w:spacing w:after="400"/>
        <w:ind w:left="1200" w:right="1200"/>
        <w:jc w:val="left"/>
      </w:pPr>
      <w:r>
        <w:rPr>
          <w:rFonts w:ascii="Garamond" w:hAnsi="Garamond"/>
          <w:color w:val="1e3a5f"/>
          <w:sz w:val="72"/>
        </w:rPr>
        <w:t>coupe constitutive</w:t>
      </w:r>
    </w:p>
    <w:p>
      <w:pPr>
        <w:spacing w:after="3000"/>
        <w:ind w:left="1200" w:right="1200"/>
        <w:jc w:val="left"/>
      </w:pPr>
      <w:r>
        <w:rPr>
          <w:rFonts w:ascii="Garamond" w:hAnsi="Garamond"/>
          <w:i/>
          <w:color w:val="722f37"/>
          <w:sz w:val="28"/>
        </w:rPr>
        <w:t>Complémentarité, perception et observation : une lecture transversale</w:t>
      </w:r>
    </w:p>
    <w:p>
      <w:pPr>
        <w:spacing w:after="120"/>
        <w:ind w:left="1200"/>
        <w:jc w:val="left"/>
      </w:pPr>
      <w:r>
        <w:rPr>
          <w:color w:val="718096"/>
          <w:sz w:val="22"/>
        </w:rPr>
        <w:t>Essai philosophique</w:t>
      </w:r>
    </w:p>
    <w:p>
      <w:pPr>
        <w:ind w:left="1200"/>
        <w:jc w:val="left"/>
      </w:pPr>
      <w:r>
        <w:rPr>
          <w:color w:val="718096"/>
          <w:sz w:val="20"/>
        </w:rPr>
        <w:t>2025</w:t>
      </w:r>
    </w:p>
    <w:p>
      <w:pPr>
        <w:sectPr>
          <w:type w:val="nextPage"/>
          <w:pgSz w:w="11906" w:h="16838"/>
          <w:pgMar w:top="0" w:right="0" w:bottom="0" w:left="0" w:header="0" w:footer="0"/>
        </w:sectPr>
      </w:pPr>
    </w:p>
    <w:p>
      <w:pPr>
        <w:spacing w:before="600" w:after="400"/>
      </w:pPr>
      <w:r>
        <w:rPr>
          <w:rFonts w:ascii="Garamond" w:hAnsi="Garamond"/>
          <w:b/>
          <w:color w:val="1e3a5f"/>
          <w:sz w:val="40"/>
        </w:rPr>
        <w:t>Table des matières</w:t>
      </w:r>
    </w:p>
    <w:p>
      <w:pPr>
        <w:spacing w:after="400"/>
      </w:pPr>
      <w:r>
        <w:rPr>
          <w:i/>
          <w:color w:val="718096"/>
          <w:sz w:val="20"/>
        </w:rPr>
        <w:t>(Clic droit sur la table des matières, puis "Mettre à jour le champ" pour actualiser les numéros de page)</w:t>
      </w:r>
    </w:p>
    <w:p>
      <w:r>
        <w:fldChar w:fldCharType="begin"/>
      </w:r>
      <w:r>
        <w:instrText xml:space="preserve"> TOC \o "1-3" \h \z \u </w:instrText>
      </w:r>
      <w:r>
        <w:fldChar w:fldCharType="separate"/>
      </w:r>
    </w:p>
    <w:p>
      <w:pPr>
        <w:pStyle w:val="TOC1"/>
      </w:pPr>
      <w:r>
        <w:t>I. Ouverture — Le motif invisible</w:t>
      </w:r>
      <w:r>
        <w:tab/>
      </w:r>
      <w:r>
        <w:t>3</w:t>
      </w:r>
    </w:p>
    <w:p>
      <w:pPr>
        <w:pStyle w:val="TOC1"/>
      </w:pPr>
      <w:r>
        <w:t>II. Cadrage épistémologique</w:t>
      </w:r>
      <w:r>
        <w:tab/>
      </w:r>
      <w:r>
        <w:t>8</w:t>
      </w:r>
    </w:p>
    <w:p>
      <w:pPr>
        <w:pStyle w:val="TOC1"/>
      </w:pPr>
      <w:r>
        <w:t>III. La complémentarité de Bohr</w:t>
      </w:r>
      <w:r>
        <w:tab/>
      </w:r>
      <w:r>
        <w:t>16</w:t>
      </w:r>
    </w:p>
    <w:p>
      <w:pPr>
        <w:pStyle w:val="TOC1"/>
      </w:pPr>
      <w:r>
        <w:t>IV. La dynamique figure/fond en Gestalt-thérapie</w:t>
      </w:r>
      <w:r>
        <w:tab/>
      </w:r>
      <w:r>
        <w:t>28</w:t>
      </w:r>
    </w:p>
    <w:p>
      <w:pPr>
        <w:pStyle w:val="TOC1"/>
      </w:pPr>
      <w:r>
        <w:t>V. La métastabilité de Kelso</w:t>
      </w:r>
      <w:r>
        <w:tab/>
      </w:r>
      <w:r>
        <w:t>40</w:t>
      </w:r>
    </w:p>
    <w:p>
      <w:pPr>
        <w:pStyle w:val="TOC1"/>
      </w:pPr>
      <w:r>
        <w:t>VI. Les coupes agentielles de Barad</w:t>
      </w:r>
      <w:r>
        <w:tab/>
      </w:r>
      <w:r>
        <w:t>52</w:t>
      </w:r>
    </w:p>
    <w:p>
      <w:pPr>
        <w:pStyle w:val="TOC1"/>
      </w:pPr>
      <w:r>
        <w:t>VII. Le motif commun</w:t>
      </w:r>
      <w:r>
        <w:tab/>
      </w:r>
      <w:r>
        <w:t>64</w:t>
      </w:r>
    </w:p>
    <w:p>
      <w:pPr>
        <w:pStyle w:val="TOC1"/>
      </w:pPr>
      <w:r>
        <w:t>VIII. Objections et réponses</w:t>
      </w:r>
      <w:r>
        <w:tab/>
      </w:r>
      <w:r>
        <w:t>74</w:t>
      </w:r>
    </w:p>
    <w:p>
      <w:pPr>
        <w:pStyle w:val="TOC1"/>
      </w:pPr>
      <w:r>
        <w:t>IX. Ce que la lecture transversale rend visible</w:t>
      </w:r>
      <w:r>
        <w:tab/>
      </w:r>
      <w:r>
        <w:t>84</w:t>
      </w:r>
    </w:p>
    <w:p>
      <w:pPr>
        <w:pStyle w:val="TOC1"/>
      </w:pPr>
      <w:r>
        <w:t>X. Conclusion</w:t>
      </w:r>
      <w:r>
        <w:tab/>
      </w:r>
      <w:r>
        <w:t>96</w:t>
      </w:r>
    </w:p>
    <w:p>
      <w:pPr>
        <w:pStyle w:val="TOC1"/>
      </w:pPr>
      <w:r>
        <w:t>Annexes</w:t>
      </w:r>
      <w:r>
        <w:tab/>
      </w:r>
      <w:r>
        <w:t>100</w:t>
      </w:r>
    </w:p>
    <w:p>
      <w:r>
        <w:fldChar w:fldCharType="end"/>
      </w:r>
    </w:p>
    <w:p>
      <w:pPr>
        <w:sectPr>
          <w:type w:val="nextPage"/>
          <w:pgSz w:w="11906" w:h="16838"/>
          <w:pgMar w:top="1800" w:right="1440" w:bottom="1440" w:left="1440" w:header="720" w:footer="720"/>
        </w:sectPr>
      </w:pPr>
    </w:p>
    <w:p>
      <w:pPr>
        <w:pStyle w:val="Heading1"/>
      </w:pPr>
      <w:bookmarkStart w:name="_Toc001" w:id="001"/>
      <w:r>
        <w:t>I. Ouverture — Le motif invisible</w:t>
      </w:r>
      <w:bookmarkEnd w:id="001"/>
    </w:p>
    <w:p>
      <w:pPr>
        <w:pStyle w:val="Heading2"/>
      </w:pPr>
      <w:r>
        <w:t>Un même geste sous des noms différents</w:t>
      </w:r>
    </w:p>
    <w:p>
      <w:pPr>
        <w:ind w:firstLine="720"/>
      </w:pPr>
      <w:r>
        <w:t>Au cours du vingtième siècle, des chercheuses et chercheurs travaillant dans des domaines indépendants — physique quantique, psychothérapie, neurosciences, philosophie des sciences — ont convergé vers un même constat structurel : ce qui apparaît comme phénomène dépend constitutivement de la manière dont on l'observe. Cette convergence n'a jamais été explicitement reconnue comme telle, en partie parce que les vocabulaires disciplinaires masquent le motif commun, en partie parce que les tentatives antérieures de rapprochement ont souvent dégénéré en analogies faciles ou en spéculations New Age qui ont décrédité l'entreprise.</w:t>
      </w:r>
    </w:p>
    <w:p>
      <w:pPr>
        <w:ind w:firstLine="720"/>
      </w:pPr>
      <w:r>
        <w:t>Niels Bohr parlait de « complémentarité » pour désigner le fait que la description complète d'un phénomène quantique nécessite des schèmes d'observation mutuellement exclusifs. Fritz Perls et ses collaborateurs développaient en parallèle la notion de « figure/fond » en Gestalt-thérapie, montrant que ce qui émerge à la conscience dépend de l'état de l'organisme dans son interaction avec l'environnement. Scott Kelso, des décennies plus tard, formalisait mathématiquement la « métastabilité » comme régime dynamique où les tendances opposées coexistent sans se résoudre. Karen Barad, enfin, proposait la notion de « coupe agentielle » pour désigner la séparation performative qui produit l'observateur et l'observé comme entités distinctes.</w:t>
      </w:r>
    </w:p>
    <w:p>
      <w:pPr>
        <w:ind w:firstLine="720"/>
      </w:pPr>
      <w:r>
        <w:t>Quatre termes pour un motif structurel apparenté. Quatre domaines sans filiation historique directe. Quatre formulations qui, pourtant, pointent vers une même structure relationnelle : ce qui apparaît dépend de la manière dont on le fait apparaître, et cette dépendance n'est pas un biais à corriger mais la condition même de toute manifestation.</w:t>
      </w:r>
    </w:p>
    <w:p>
      <w:pPr>
        <w:pStyle w:val="Heading2"/>
      </w:pPr>
      <w:r>
        <w:t>Une convergence ignorée</w:t>
      </w:r>
    </w:p>
    <w:p>
      <w:pPr>
        <w:ind w:firstLine="720"/>
      </w:pPr>
      <w:r>
        <w:t>William James avait introduit l'idée d'une complémentarité en psychologie dès 1890, indépendamment de toute référence à la physique quantique qui n'existait pas encore sous cette forme. Dans ses Principes de psychologie, il décrivait déjà comment l'attention sélectionne dans le champ de conscience un « objet psychique » au détriment d'autres possibles, et comment cette sélection est constitutive de ce qui est perçu. Mais ces fils n'ont jamais été tissés ensemble de manière rigoureuse.</w:t>
      </w:r>
    </w:p>
    <w:p>
      <w:pPr>
        <w:ind w:firstLine="720"/>
      </w:pPr>
      <w:r>
        <w:t>Bohr lui-même espérait que la complémentarité s'étendrait au-delà de la physique. Dès 1933, dans sa célèbre conférence « Light and Life », il suggérait que les phénomènes biologiques pourraient requérir des descriptions complémentaires similaires à celles de la physique quantique. Plus tard, il évoquait des parallèles avec la psychologie et même avec les traditions de pensée orientales. Sa devise personnelle, gravée sur son blason, était le principe héraclitéen : « contraria sunt complementa » — les contraires sont complémentaires.</w:t>
      </w:r>
    </w:p>
    <w:p>
      <w:pPr>
        <w:ind w:firstLine="720"/>
      </w:pPr>
      <w:r>
        <w:t>Pourtant, Bohr n'a jamais fourni l'explication de cette extensibilité apparente. Il pressentait une structure commune mais n'en a pas donné la théorie. Cette lacune a ouvert la porte à deux dérives symétriques : d'un côté, le rejet pur et simple par de nombreux physiciens qui voyaient dans tout rapprochement avec d'autres domaines une compromission de la rigueur scientifique ; de l'autre, l'appropriation abusive par des courants relativistes et mystiques qui confondaient analogie structurelle et identité de contenu.</w:t>
      </w:r>
    </w:p>
    <w:p>
      <w:pPr>
        <w:pStyle w:val="Heading2"/>
      </w:pPr>
      <w:r>
        <w:t>Ce que ce texte propose</w:t>
      </w:r>
    </w:p>
    <w:p>
      <w:pPr>
        <w:ind w:firstLine="720"/>
      </w:pPr>
      <w:r>
        <w:t>Le présent ouvrage ne prétend pas démontrer une identité entre les domaines évoqués. Il ne s'agit pas de réduire la psychologie à la physique, ni la biologie à la mécanique quantique. Il ne s'agit pas non plus de proposer une « théorie du tout » qui unifierait ces disciplines sous un principe unique. Une telle ambition serait présomptueuse et, surtout, maladroite : le motif que nous cherchons à identifier n'est pas une loi universelle qui s'appliquerait de la même manière à tous les domaines, mais une structure relationnelle qui se manifeste différemment selon les échelles et les matérialités concernées.</w:t>
      </w:r>
    </w:p>
    <w:p>
      <w:pPr>
        <w:ind w:firstLine="720"/>
      </w:pPr>
      <w:r>
        <w:t>Notre projet est plus modeste et, nous l'espérons, plus fertile : rendre visible un motif commun avec assez de clarté pour que la lectrice ou le lecteur puisse le reconnaître par soi-même dans les différents domaines. Il s'agit d'une invitation à voir autrement, plutôt que d'une démonstration qui clore le débat.</w:t>
      </w:r>
    </w:p>
    <w:p>
      <w:pPr>
        <w:ind w:firstLine="720"/>
      </w:pPr>
      <w:r>
        <w:t>Le texte s'adresse aux philosophes intéressés par les questions d'épistémologie et d'ontologie, aux thérapeutes curieux des fondements théoriques de leur pratique, aux scientifiques ouverts aux questions transversales, et plus généralement à tout lecteur ou lectrice cultivée capable de suivre un raisonnement exigeant sans être nécessairement spécialiste d'aucun des quatre domaines présentés.</w:t>
      </w:r>
    </w:p>
    <w:p>
      <w:pPr>
        <w:pStyle w:val="Heading2"/>
      </w:pPr>
      <w:r>
        <w:t>Plan de l'ouvrage</w:t>
      </w:r>
    </w:p>
    <w:p>
      <w:pPr>
        <w:ind w:firstLine="720"/>
      </w:pPr>
      <w:r>
        <w:t>Après une section de cadrage épistémologique qui clarifie le statut de l'analogie structurelle et la distingue des autres formes de rapprochement interdisciplinaire, nous présenterons successivement les quatre domaines qui constituent le tissu de notre enquête. Chaque section exposera le domaine dans ses propres termes, mettra en lumière ce qu'il partage structurellement avec les autres, et identifiera ce qu'il apporte de spécifique.</w:t>
      </w:r>
    </w:p>
    <w:p>
      <w:pPr>
        <w:ind w:firstLine="720"/>
      </w:pPr>
      <w:r>
        <w:t>Une section centrale sera consacrée à l'extraction et la formulation explicite du motif commun. Nous y proposerons une formulation dans un langage neutre, dégagé des vocabulaires disciplinaires, et montrerons comment chaque domaine voit un aspect que les autres ne voient pas.</w:t>
      </w:r>
    </w:p>
    <w:p>
      <w:pPr>
        <w:ind w:firstLine="720"/>
      </w:pPr>
      <w:r>
        <w:t>Nous répondrons ensuite aux objections principales que l'on peut légitimement formuler à l'encontre d'une telle entreprise transdisciplinaire, avant de développer ce que la lecture transversale rend spécifiquement visible : les gradients de complémentarité, la porosité variable des coupes, et l'enchevêtrement des multiples coupes simultanées.</w:t>
      </w:r>
    </w:p>
    <w:p>
      <w:pPr>
        <w:ind w:firstLine="720"/>
      </w:pPr>
      <w:r>
        <w:t>Enfin, une conclusion ouvrira sur les prolongements possibles de cette recherche, sans prétendre clore une réflexion qui, par sa nature même, appelle à être continuée.</w:t>
      </w:r>
    </w:p>
    <w:p>
      <w:pPr>
        <w:pStyle w:val="Heading1"/>
      </w:pPr>
      <w:bookmarkStart w:name="_Toc002" w:id="002"/>
      <w:r>
        <w:t>II. Cadrage épistémologique</w:t>
      </w:r>
      <w:bookmarkEnd w:id="002"/>
    </w:p>
    <w:p>
      <w:pPr>
        <w:pStyle w:val="Heading2"/>
      </w:pPr>
      <w:r>
        <w:t>Ni identité, ni métaphore : le statut de l'analogie structurelle</w:t>
      </w:r>
    </w:p>
    <w:p>
      <w:pPr>
        <w:ind w:firstLine="720"/>
      </w:pPr>
      <w:r>
        <w:t>Toute entreprise de rapprochement entre disciplines soulève immédiatement la question du statut épistémologique de ce rapprochement. Qu'est-ce qui autorise à voir une connexion entre des domaines aussi différents que la physique quantique et la psychothérapie ? Sur quel fondement peut-on affirmer qu'ils partagent quelque chose de commun ? Ces questions sont d'autant plus pressantes que l'histoire des sciences regorge de mauvais rapprochements, d'emprunts abusifs de concepts, d'analogies qui masquent plus qu'elles ne révèlent.</w:t>
      </w:r>
    </w:p>
    <w:p>
      <w:pPr>
        <w:ind w:firstLine="720"/>
      </w:pPr>
      <w:r>
        <w:t>Il convient donc de clarifier dès le départ le type de connexion que nous proposons d'établir. Nous ne prétendons pas à une identité matérielle : les mécanismes physiques à l'œuvre dans la décohérence quantique n'ont rien à voir avec les processus neuronaux de la perception consciente. Nous ne prétendons pas non plus à un isomorphisme formel : les équations de la mécanique quantique ne s'appliquent pas à la dynamique psychothérapeutique, et les formalismes de la théorie des systèmes dynamiques ne se transposent pas directement à l'ontologie relationnelle.</w:t>
      </w:r>
    </w:p>
    <w:p>
      <w:pPr>
        <w:ind w:firstLine="720"/>
      </w:pPr>
      <w:r>
        <w:t>Ce que nous proposons, c'est une analogie structurelle : l'identification d'un motif relationnel commun entre des domaines dont les mécanismes diffèrent et dont les formalismes sont distincts. Ce motif n'est ni une identité de substance ni une similitude de forme mathématique, mais une correspondance de pattern relationnel.</w:t>
      </w:r>
    </w:p>
    <w:p>
      <w:pPr>
        <w:pStyle w:val="Heading2"/>
      </w:pPr>
      <w:r>
        <w:t>Trois niveaux de rapprochement</w:t>
      </w:r>
    </w:p>
    <w:p>
      <w:pPr>
        <w:ind w:firstLine="720"/>
      </w:pPr>
      <w:r>
        <w:t>Pour clarifier cette distinction, il est utile de distinguer trois niveaux de rapprochement entre domaines :</w:t>
      </w:r>
    </w:p>
    <w:p>
      <w:pPr>
        <w:ind w:firstLine="720"/>
      </w:pPr>
      <w:r>
        <w:t>(a) L'identité matérielle suppose que le même mécanisme physique opère dans des contextes différents. Par exemple, la gravitation qui fait tomber une pomme sur Terre est la même que celle qui maintient la Lune en orbite autour de la Terre. Cette identité repose sur la continuité des lois physiques à travers les situations.</w:t>
      </w:r>
    </w:p>
    <w:p>
      <w:pPr>
        <w:ind w:firstLine="720"/>
      </w:pPr>
      <w:r>
        <w:t>(b) L'isomorphisme formel suppose que la même structure mathématique s'applique à des substrats différents. Les équations de diffusion, par exemple, décrivent aussi bien la propagation de la chaleur dans un solide que la dispersion d'une population animale dans un territoire. La structure mathématique est identique, mais les domaines d'application sont hétérogènes.</w:t>
      </w:r>
    </w:p>
    <w:p>
      <w:pPr>
        <w:ind w:firstLine="720"/>
      </w:pPr>
      <w:r>
        <w:t>(c) L'analogie structurelle, enfin, identifie un motif relationnel commun sans identité de mécanisme ni de formalisme. C'est ce type de rapprochement que nous proposons ici. Les quatre domaines que nous allons examiner partagent une structure relationnelle — ce que nous nommerons le motif de la coupe constitutive — sans partager leurs mécanismes matériels ni leurs formalismes mathématiques.</w:t>
      </w:r>
    </w:p>
    <w:p>
      <w:pPr>
        <w:pStyle w:val="Heading2"/>
      </w:pPr>
      <w:r>
        <w:t>La notion de pattern chez Bateson</w:t>
      </w:r>
    </w:p>
    <w:p>
      <w:pPr>
        <w:ind w:firstLine="720"/>
      </w:pPr>
      <w:r>
        <w:t>Gregory Bateson, dans son ouvrage fondamental Vers une écologie de l'esprit, développait une épistémologie fondée sur ce qu'il appelait « the pattern which connects » — le pattern qui relie. Pour Bateson, la compréhension scientifique ne consiste pas à identifier des substances identiques ou des formules générales, mais à reconnaître des patterns relationnels qui se répètent à travers des domaines hétérogènes.</w:t>
      </w:r>
    </w:p>
    <w:p>
      <w:pPr>
        <w:ind w:firstLine="720"/>
      </w:pPr>
      <w:r>
        <w:t>Bateson nommait cela « homologie de pattern » et la distinguait explicitement de l'homologie de substance. Deux phénomènes peuvent partager un pattern relationnel sans partager la moindre substance commune. La ressemblance entre le crabe et le cheval, écrivait-il, ne réside pas dans leurs substances mais dans leurs patterns de croissance, leurs patterns de symétrie, leurs patterns de différenciation.</w:t>
      </w:r>
    </w:p>
    <w:p>
      <w:pPr>
        <w:ind w:firstLine="720"/>
      </w:pPr>
      <w:r>
        <w:t>Cette distinction est cruciale pour notre propos. Nous ne disons pas que la perception humaine « est » de la mécanique quantique, ni que la coordination neuronale « est » une figure/fond. Nous disons que ces domaines partagent un pattern relationnel identifiable : la co-constitution du phénomène par le dispositif qui l'observe.</w:t>
      </w:r>
    </w:p>
    <w:p>
      <w:pPr>
        <w:pStyle w:val="Heading2"/>
      </w:pPr>
      <w:r>
        <w:t>La convergence indépendante comme critère</w:t>
      </w:r>
    </w:p>
    <w:p>
      <w:pPr>
        <w:ind w:firstLine="720"/>
      </w:pPr>
      <w:r>
        <w:t>Un argument de poids en faveur de la pertinence d'une analogie structurelle est ce que l'on peut appeler la convergence indépendante. Lorsque des chercheurs et chercheuses dans des domaines isolés, sans se citer mutuellement, sans partager de méthodologie commune, arrivent au même motif relationnel, cela constitue un indice plus fort qu'une dérivation directe ou qu'une simple coïncidence.</w:t>
      </w:r>
    </w:p>
    <w:p>
      <w:pPr>
        <w:ind w:firstLine="720"/>
      </w:pPr>
      <w:r>
        <w:t>C'est précisément ce qui s'est produit avec le motif de la coupe constitutive. Bohr développait sa notion de complémentarité dans le contexte des débats sur l'interprétation de la mécanique quantique, sans référence à la psychologie de la perception. Perls et ses collaborateurs formalisaient la dynamique figure/fond dans un cadre phénoménologique et psychanalytique, sans connaissance de la physique quantique. Kelso découvrait la métastabilité dans ses expériences sur la coordination motrice, sans lien direct avec la Gestalt-thérapie. Barad, enfin, développait son réalisme agentiel à partir d'une relecture de Bohr, mais sans connaissance approfondie des travaux de Kelso.</w:t>
      </w:r>
    </w:p>
    <w:p>
      <w:pPr>
        <w:ind w:firstLine="720"/>
      </w:pPr>
      <w:r>
        <w:t>Cette indépendance historique est précieuse. Elle signifie que le motif commun n'est pas le résultat d'une influence directe, d'un emprunt conscient ou d'une mode intellectuelle. Il est apparu spontanément dans des contextes différents, comme une réponse à des questions distinctes, mais convergeant vers une même structure relationnelle.</w:t>
      </w:r>
    </w:p>
    <w:p>
      <w:pPr>
        <w:pStyle w:val="Heading2"/>
      </w:pPr>
      <w:r>
        <w:t>Distinction avec les lectures New Age</w:t>
      </w:r>
    </w:p>
    <w:p>
      <w:pPr>
        <w:ind w:firstLine="720"/>
      </w:pPr>
      <w:r>
        <w:t>Il est important de distinguer notre approche des lectures de type New Age qui ont parfois exploité les concepts de physique quantique à des fins spirituelles ou mystiques. Ces lectures, popularisées par des ouvrages comme La Prophétie de Fritjof Capra, tendent à confondre analogie de structure et identité de contenu. Elles disent que le vide quantique « est » le sunyata bouddhiste, que l'intrication quantique « prouve » l'interconnexion spirituelle de tous les êtres.</w:t>
      </w:r>
    </w:p>
    <w:p>
      <w:pPr>
        <w:ind w:firstLine="720"/>
      </w:pPr>
      <w:r>
        <w:t>Ce type de rapprochement est problématique pour plusieurs raisons. Premièrement, il ignore les différences de contexte et de signification entre les concepts. Le vide quantique n'a pas la même signification que le sunyata, même si les deux concepts partagent certaines caractéristiques structurelles. Deuxièmement, ces lectures tendent à instrumentaliser la physique à des fins qui lui sont étrangères, transformant des concepts scientifiques en arguments d'autorité pour des thèses philosophiques ou spirituelles.</w:t>
      </w:r>
    </w:p>
    <w:p>
      <w:pPr>
        <w:ind w:firstLine="720"/>
      </w:pPr>
      <w:r>
        <w:t>Notre approche est différente. Nous ne cherchons pas à dire que la Gestalt-thérapie « est » de la mécanique quantique, ni que la physique quantique « prouve » quoi que ce soit sur la psychothérapie. Nous identifions des correspondances de structure entre modes d'observation, non des correspondances de contenu entre domaines. Nous disons que dans les deux cas, le dispositif d'observation co-constitue ce qui apparaît, et que cette co-constitution a une structure analysable. C'est tout à fait différent.</w:t>
      </w:r>
    </w:p>
    <w:p>
      <w:pPr>
        <w:pStyle w:val="Heading2"/>
      </w:pPr>
      <w:r>
        <w:t>Limites assumées</w:t>
      </w:r>
    </w:p>
    <w:p>
      <w:pPr>
        <w:ind w:firstLine="720"/>
      </w:pPr>
      <w:r>
        <w:t>Il convient enfin de préciser les limites de notre entreprise. Un cadre épistémologique ne se falsifie pas au sens poppérien : on ne peut pas désigner une expérience cruciale qui le réfuterait. Il se juge à sa fécondité : permet-il de poser des questions nouvelles ? Rend-il visibles des connexions qui étaient invisibles ? Génère-t-il des recherches productives ?</w:t>
      </w:r>
    </w:p>
    <w:p>
      <w:pPr>
        <w:ind w:firstLine="720"/>
      </w:pPr>
      <w:r>
        <w:t>Ce texte ne propose pas une théorie scientifique au sens où on pourrait la tester expérimentalement. Il propose une lecture transversale, une manière de voir qui met en relation des domaines habituellement séparés. Sa valeur, si elle en a une, réside dans sa capacité à éclairer chaque domaine à la lumière des autres, et à faire apparaître des questions que le cloisonnement disciplinaire masque.</w:t>
      </w:r>
    </w:p>
    <w:p>
      <w:pPr>
        <w:ind w:firstLine="720"/>
      </w:pPr>
      <w:r>
        <w:t>C'est une invitation à voir, non une démonstration qui clore. Et, comme nous le verrons, cette distinction entre montrer et démontrer est elle-même un exemple du motif que nous cherchons à décrire.</w:t>
      </w:r>
    </w:p>
    <w:p>
      <w:pPr>
        <w:pStyle w:val="Heading1"/>
      </w:pPr>
      <w:bookmarkStart w:name="_Toc003" w:id="003"/>
      <w:r>
        <w:t>III. La complémentarité de Bohr</w:t>
      </w:r>
      <w:bookmarkEnd w:id="003"/>
    </w:p>
    <w:p>
      <w:pPr>
        <w:pStyle w:val="Heading2"/>
      </w:pPr>
      <w:r>
        <w:t>Ce que Bohr a vu — et ce qu'il a laissé ouvert</w:t>
      </w:r>
    </w:p>
    <w:p>
      <w:pPr>
        <w:ind w:firstLine="720"/>
      </w:pPr>
      <w:r>
        <w:t>Le principe de complémentarité de Niels Bohr ne se réduit pas à une interprétation technique de la mécanique quantique. C'est une thèse épistémologique sur les conditions de toute description : la description complète d'un phénomène nécessite des schèmes d'observation mutuellement exclusifs, et le dispositif d'observation participe à la constitution de ce qui apparaît. Bohr considérait explicitement cette thèse comme extensible au-delà de la physique, mais n'a jamais fourni l'explication de cette extensibilité.</w:t>
      </w:r>
    </w:p>
    <w:p>
      <w:pPr>
        <w:pStyle w:val="Heading2"/>
      </w:pPr>
      <w:r>
        <w:t>Le contexte historique : 1927</w:t>
      </w:r>
    </w:p>
    <w:p>
      <w:pPr>
        <w:ind w:firstLine="720"/>
      </w:pPr>
      <w:r>
        <w:t>L'année 1927 marque un tournant dans l'histoire de la physique quantique. Après les développements formels de Heisenberg (mécanique des matrices) et de Schrödinger (équation d'onde), la question de l'interprétation de cette nouvelle théorie devenait pressante. Que signifiaient ces équations ? Quel était leur rapport à la réalité physique ?</w:t>
      </w:r>
    </w:p>
    <w:p>
      <w:pPr>
        <w:ind w:firstLine="720"/>
      </w:pPr>
      <w:r>
        <w:t>C'est dans ce contexte que Bohr présenta, lors du Congrès Solvay d'octobre 1927, sa notion de complémentarité. Le terme lui-même avait été suggéré par un de ses collaborateurs, mais c'est Bohr qui lui donna son contenu conceptuel spécifique. La complémentarité n'était pas simplement une constatation technique sur les limites de la mesure : c'était une thèse sur la nature même de la description physique.</w:t>
      </w:r>
    </w:p>
    <w:p>
      <w:pPr>
        <w:ind w:firstLine="720"/>
      </w:pPr>
      <w:r>
        <w:t>Le débat de 1927 opposait principalement Bohr à Einstein. Ce dernier, attaché à une conception réaliste de la physique, refusait d'admettre que la théorie quantique fût complète. Il développa au fil des années une série de paradoxes (le plus célèbre étant celui d'Einstein-Podolsky-Rosen en 1935) pour montrer que la mécanique quantique était incompletée et devait être complétée par des variables cachées. Bohr répondit à chaque objection, non pas en modifiant la théorie, mais en approfondissant l'analyse épistémologique de ce que signifie observer.</w:t>
      </w:r>
    </w:p>
    <w:p>
      <w:pPr>
        <w:pStyle w:val="Heading2"/>
      </w:pPr>
      <w:r>
        <w:t>Complémentarité et principe d'incertitude</w:t>
      </w:r>
    </w:p>
    <w:p>
      <w:pPr>
        <w:ind w:firstLine="720"/>
      </w:pPr>
      <w:r>
        <w:t>Une confusion fréquente consiste à identifier la complémentarité de Bohr avec le principe d'incertitude de Heisenberg. Ces deux concepts, bien que liés, sont distincts et répondent à des questions différentes.</w:t>
      </w:r>
    </w:p>
    <w:p>
      <w:pPr>
        <w:ind w:firstLine="720"/>
      </w:pPr>
      <w:r>
        <w:t>Le principe d'incertitude de Heisenberg (1927) est un énoncé mathématique : il est impossible de connaître simultanément avec précision la position et la quantité de mouvement d'une particule. Le produit des incertitudes sur ces deux grandeurs est borné inférieurement par une constante (Δx·Δp ≥ ħ/2). Ce principe peut s'interpréter de différentes manières : comme une limitation de notre capacité à mesurer (interprétation par la perturbation), ou comme une propriété intrinsèque des systèmes quantiques.</w:t>
      </w:r>
    </w:p>
    <w:p>
      <w:pPr>
        <w:ind w:firstLine="720"/>
      </w:pPr>
      <w:r>
        <w:t>La complémentarité de Bohr va au-delà de cette formulation mathématique. Elle concerne la relation entre le dispositif expérimental et le phénomène observé. Pour Bohr, le dispositif ne révèle pas une propriété préexistante de la particule : il participe à la définition de ce qui peut apparaître comme phénomène. L'aspect corpusculaire ou ondulatoire de la lumière n'est pas une propriété que posséderait la lumière indépendamment de l'observation : c'est le dispositif expérimental qui actualise l'un ou l'autre aspect, en laissant l'autre en réserve.</w:t>
      </w:r>
    </w:p>
    <w:p>
      <w:pPr>
        <w:ind w:firstLine="720"/>
      </w:pPr>
      <w:r>
        <w:t>La différence est subtile mais cruciale. Heisenberg, dans son interprétation par la perturbation, supposait encore qu'il existait une réalité préexistante (position et vitesse définies) que la mesure perturbe. Bohr, lui, soutient que cette réalité préexistante n'a pas de sens : ce qui a du sens, c'est le phénomène dans son entier, incluant le dispositif d'observation. Ce n'est pas la mesure qui perturbe une réalité préexistante, c'est le dispositif qui co-constitue ce qui apparaît.</w:t>
      </w:r>
    </w:p>
    <w:p>
      <w:pPr>
        <w:pStyle w:val="Heading2"/>
      </w:pPr>
      <w:r>
        <w:t>Les descriptions sont ancrées</w:t>
      </w:r>
    </w:p>
    <w:p>
      <w:pPr>
        <w:ind w:firstLine="720"/>
      </w:pPr>
      <w:r>
        <w:t>Une autre dimension importante de la pensée de Bohr est l'ancrage des descriptions dans le langage classique et les conditions expérimentales concrètes. Pour Bohr, il n'y a pas de description quantique « pure », dégagée de tout référent classique. Toute description, même de phénomènes quantiques, doit s'appuyer sur des concepts et un langage qui ont un sens classique.</w:t>
      </w:r>
    </w:p>
    <w:p>
      <w:pPr>
        <w:ind w:firstLine="720"/>
      </w:pPr>
      <w:r>
        <w:t>Cet ancrage a deux conséquences importantes. Premièrement, il limite ce qui peut être dit : nous ne pouvons décrire les phénomènes quantiques qu'à travers des concepts empruntés au monde classique (position, impulsion, temps, énergie). Deuxièmement, il rend indispensable la référence au dispositif expérimental : ce qui est mesuré ne peut être défini indépendamment de la manière dont c'est mesuré.</w:t>
      </w:r>
    </w:p>
    <w:p>
      <w:pPr>
        <w:ind w:firstLine="720"/>
      </w:pPr>
      <w:r>
        <w:t>C'est pourquoi Bohr insiste sur l'unité du phénomène. On ne peut pas séparer l'objet observé de l'appareil d'observation et décrire l'un indépendamment de l'autre. Le phénomène, au sens bohrien, inclut nécessairement les conditions expérimentales de son apparition.</w:t>
      </w:r>
    </w:p>
    <w:p>
      <w:pPr>
        <w:pStyle w:val="Heading2"/>
      </w:pPr>
      <w:r>
        <w:t>L'ambition plus large de Bohr</w:t>
      </w:r>
    </w:p>
    <w:p>
      <w:pPr>
        <w:ind w:firstLine="720"/>
      </w:pPr>
      <w:r>
        <w:t>Dès les années 1930, Bohr commence à élargir le champ d'application de la complémentarité au-delà de la physique quantique. Sa conférence de 1933, « Light and Life », est emblématique de cette extension. Il y suggère que les phénomènes biologiques pourraient requérir des descriptions complémentaires, de même que les phénomènes physiques.</w:t>
      </w:r>
    </w:p>
    <w:p>
      <w:pPr>
        <w:ind w:firstLine="720"/>
      </w:pPr>
      <w:r>
        <w:t>Dans cette conférence, Bohr évoque la difficulté de définir la vie en termes physiques et chimiques. Il ne dit pas que la vie échappe à la physique, mais que la description complète des organismes vivants pourrait nécessiter des schèmes conceptuels différents, voire mutuellement exclusifs, de même que la description complète des phénomènes quantiques nécessite des schèmes corpusculaire et ondulatoire.</w:t>
      </w:r>
    </w:p>
    <w:p>
      <w:pPr>
        <w:ind w:firstLine="720"/>
      </w:pPr>
      <w:r>
        <w:t>Plus tard, dans sa conférence de Côme de 1949, Bohr ira plus loin encore. Il y décrit la complémentarité comme une « analogie profonde avec la difficulté générale de la formation des idées humaines, inhérente à la distinction entre sujet et objet ». C'est une formulation remarquable : Bohr voit dans la complémentarité non pas une particularité de la physique quantique, mais une structure générale de la connaissance, liée à la condition même de l'observation.</w:t>
      </w:r>
    </w:p>
    <w:p>
      <w:pPr>
        <w:ind w:firstLine="720"/>
      </w:pPr>
      <w:r>
        <w:t>Cette extension n'est pas gratuite. Elle repose sur l'idée que la complémentarité résulte de la finitude de tout dispositif d'observation, de l'impossibilité pour un observateur situé de saisir simultanément tous les aspects d'une réalité qui le dépasse. Cette finitude n'est pas propre à la physique quantique : elle caractérise toute situation d'observation.</w:t>
      </w:r>
    </w:p>
    <w:p>
      <w:pPr>
        <w:pStyle w:val="Heading2"/>
      </w:pPr>
      <w:r>
        <w:t>Ce que Bohr n'a pas fait</w:t>
      </w:r>
    </w:p>
    <w:p>
      <w:pPr>
        <w:ind w:firstLine="720"/>
      </w:pPr>
      <w:r>
        <w:t>Pourtant, et c'est là un point crucial pour notre propos, Bohr n'a jamais fourni l'explication de cette extensibilité. Il a affirmé que la complémentarité pouvait s'appliquer au-delà de la physique, il a même donné des exemples (biologie, psychologie), mais il n'a pas dit pourquoi. Qu'est-ce qui justifie que la même structure relationnelle se retrouve dans des domaines aussi différents ?</w:t>
      </w:r>
    </w:p>
    <w:p>
      <w:pPr>
        <w:ind w:firstLine="720"/>
      </w:pPr>
      <w:r>
        <w:t>Cette lacune a eu des conséquences importantes. Elle a ouvert la porte à deux dérives symétriques. D'un côté, de nombreux physiciens ont rejeté l'extension de la complémentarité comme une généralisation abusive, une extrapolation philosophique sans fondement scientifique. De l'autre, des courants New Age ont saisi cette ouverture pour développer des analogies faciles entre physique quantique et spiritualité, confondant systématiquement structure et contenu.</w:t>
      </w:r>
    </w:p>
    <w:p>
      <w:pPr>
        <w:ind w:firstLine="720"/>
      </w:pPr>
      <w:r>
        <w:t>Le présent ouvrage tente de combler cette lacune, non pas en proposant une théorie générale de la complémentarité qui s'appliquerait uniformément à tous les domaines, mais en montrant que des domaines très différents convergent vers une même structure relationnelle, et que cette convergence n'est pas fortuite.</w:t>
      </w:r>
    </w:p>
    <w:p>
      <w:pPr>
        <w:pStyle w:val="Heading2"/>
      </w:pPr>
      <w:r>
        <w:t>Les traits structuraux clés</w:t>
      </w:r>
    </w:p>
    <w:p>
      <w:pPr>
        <w:ind w:firstLine="720"/>
      </w:pPr>
      <w:r>
        <w:t>Pour préparer la comparaison avec les autres domaines, il est utile de résumer les traits structuraux clés de la complémentarité bohrienne :</w:t>
      </w:r>
    </w:p>
    <w:p>
      <w:pPr>
        <w:ind w:firstLine="720"/>
      </w:pPr>
      <w:r>
        <w:t>(a) Ce qui apparaît dépend du dispositif d'observation. L'aspect corpusculaire ou ondulatoire de la lumière n'est pas une propriété préexistante de la lumière, mais résulte de l'interaction entre la lumière et le dispositif expérimental.</w:t>
      </w:r>
    </w:p>
    <w:p>
      <w:pPr>
        <w:ind w:firstLine="720"/>
      </w:pPr>
      <w:r>
        <w:t>(b) Les descriptions possibles sont partielles et mutuellement exclusives. On ne peut pas décrire simultanément la lumière comme corpusculaire et comme ondulatoire. Chaque description est complète dans son propre cadre, mais ne peut être combinée avec l'autre.</w:t>
      </w:r>
    </w:p>
    <w:p>
      <w:pPr>
        <w:ind w:firstLine="720"/>
      </w:pPr>
      <w:r>
        <w:t>(c) Cette partialité n'est pas un défaut à corriger, mais la condition même de toute description déterminée. Ce n'est pas parce que notre connaissance est limitée que nous ne pouvons pas avoir une description complète : c'est parce que la description elle-même est une opération située qui implique des choix et des exclusions.</w:t>
      </w:r>
    </w:p>
    <w:p>
      <w:pPr>
        <w:ind w:firstLine="720"/>
      </w:pPr>
      <w:r>
        <w:t>(d) Ce qui n'apparaît pas dans une configuration donnée n'est pas absent, mais en réserve. L'aspect ondulatoire de la lumière n'est pas annihilé quand on observe un aspect corpusculaire : il est simplement non-actualisé, maintenu dans une réserve de possibles.</w:t>
      </w:r>
    </w:p>
    <w:p>
      <w:pPr>
        <w:ind w:firstLine="720"/>
      </w:pPr>
      <w:r>
        <w:t>Ces quatre traits constitueront notre grille de lecture pour examiner les autres domaines.</w:t>
      </w:r>
    </w:p>
    <w:p>
      <w:pPr>
        <w:pStyle w:val="Heading1"/>
      </w:pPr>
      <w:bookmarkStart w:name="_Toc004" w:id="004"/>
      <w:r>
        <w:t>IV. La dynamique figure/fond en Gestalt-thérapie</w:t>
      </w:r>
      <w:bookmarkEnd w:id="004"/>
    </w:p>
    <w:p>
      <w:pPr>
        <w:pStyle w:val="Heading2"/>
      </w:pPr>
      <w:r>
        <w:t>Ce qui émerge dépend de qui regarde — et de comment</w:t>
      </w:r>
    </w:p>
    <w:p>
      <w:pPr>
        <w:ind w:firstLine="720"/>
      </w:pPr>
      <w:r>
        <w:t>La Gestalt-thérapie repose sur un constat structurellement apparenté à celui de Bohr : le champ perceptif ne se divise pas en figure et fond selon les propriétés intrinsèques des objets, mais selon l'état de l'organisme dans son interaction avec l'environnement. La configuration figure/fond est performativement produite par l'ensemble de l'état psycho-corporel de l'observateur ou de l'observatrice, et ce qui n'émerge pas comme figure n'est pas absent mais en retrait dans un fond disponible.</w:t>
      </w:r>
    </w:p>
    <w:p>
      <w:pPr>
        <w:pStyle w:val="Heading2"/>
      </w:pPr>
      <w:r>
        <w:t>La Gestalt-thérapie et la Gestalt-psychologie</w:t>
      </w:r>
    </w:p>
    <w:p>
      <w:pPr>
        <w:ind w:firstLine="720"/>
      </w:pPr>
      <w:r>
        <w:t>Avant de développer notre propos, une clarification terminologique s'impose. La Gestalt-thérapie et la Gestalt-psychologie ne sont pas la même chose, bien qu'elles partagent une origine commune et certaines idées fondamentales.</w:t>
      </w:r>
    </w:p>
    <w:p>
      <w:pPr>
        <w:ind w:firstLine="720"/>
      </w:pPr>
      <w:r>
        <w:t>La Gestalt-psychologie est une école de psychologie expérimentale née en Allemagne au début du XXe siècle, autour de figures comme Max Wertheimer, Kurt Koffka et Wolfgang Köhler. Elle étudiait les lois de l'organisation perceptive, montrant que nous percevons des formes globales (Gestalten) plutôt que des agrégats de sensations élémentaires. Les célèbres lois de la Gestalt (proximité, similarité, continuité, etc.) décrivent comment le système perceptif organise spontanément le champ sensoriel en figures cohérentes.</w:t>
      </w:r>
    </w:p>
    <w:p>
      <w:pPr>
        <w:ind w:firstLine="720"/>
      </w:pPr>
      <w:r>
        <w:t>La Gestalt-thérapie, développée par Fritz Perls, Laura Perls et Paul Goodman dans les années 1940-1950, s'inspire de la Gestalt-psychologie mais la dépasse. Elle ne se contente pas d'étudier les lois de la perception : elle développe une théorie de la conscience, une méthode thérapeutique et une philosophie de l'expérience. Le concept de figure/fond, emprunté à la Gestalt-psychologie, est transformé en un outil pour comprendre la dynamique de la conscience et les processus de contact entre l'organisme et son environnement.</w:t>
      </w:r>
    </w:p>
    <w:p>
      <w:pPr>
        <w:ind w:firstLine="720"/>
      </w:pPr>
      <w:r>
        <w:t>C'est la Gestalt-thérapie, plus que la Gestalt-psychologie, qui nous intéresse ici. Non pas parce qu'elle serait « supérieure », mais parce qu'elle développe explicitement la dimension phénoménologique et existentielle de la dynamique figure/fond, ce qui la rend directement comparable à la complémentarité de Bohr.</w:t>
      </w:r>
    </w:p>
    <w:p>
      <w:pPr>
        <w:pStyle w:val="Heading2"/>
      </w:pPr>
      <w:r>
        <w:t>Le champ organisme-environnement</w:t>
      </w:r>
    </w:p>
    <w:p>
      <w:pPr>
        <w:ind w:firstLine="720"/>
      </w:pPr>
      <w:r>
        <w:t>La notion fondamentale de la Gestalt-thérapie est celle de champ organisme-environnement. Contrairement à une vision qui séparerait nettement le sujet percevant de l'objet perçu, la Gestalt-thérapie insiste sur l'unité du champ dans lequel s'effectue toute expérience.</w:t>
      </w:r>
    </w:p>
    <w:p>
      <w:pPr>
        <w:ind w:firstLine="720"/>
      </w:pPr>
      <w:r>
        <w:t>Cette unité n'est pas une fusion indifférenciée. Le champ organisme-environnement comporte des différenciations, des tensions, des processus actifs. Mais ces différenciations ne préexistent pas à l'expérience : elurs émergent de la dynamique du champ lui-même.</w:t>
      </w:r>
    </w:p>
    <w:p>
      <w:pPr>
        <w:ind w:firstLine="720"/>
      </w:pPr>
      <w:r>
        <w:t>Dans ce cadre, la figure est ce qui émerge au premier plan de la conscience, ce qui attire l'attention, ce vers quoi l'organisme se dirige. Le fond est tout ce qui reste en arrière-plan, disponible mais non actualisé. La relation entre figure et fond est dynamique : ce qui est figure peut redevenir fond, et ce qui est fond peut émerger comme figure.</w:t>
      </w:r>
    </w:p>
    <w:p>
      <w:pPr>
        <w:ind w:firstLine="720"/>
      </w:pPr>
      <w:r>
        <w:t>L'exemple classique est celui de la promenade dans la rue. À un instant donné, votre attention peut être attirée par une vitrine, un visage, un bruit, une odeur. Cet élément devient figure, tandis que le reste du champ perceptif récule au fond. Mais si vous entendez soudain votre prénom, votre attention bascule immédiatement vers cette source sonore, qui devient la nouvelle figure. L'ancienne figure (la vitrine) n'a pas disparu : elle est simplement redevenue fond.</w:t>
      </w:r>
    </w:p>
    <w:p>
      <w:pPr>
        <w:pStyle w:val="Heading2"/>
      </w:pPr>
      <w:r>
        <w:t>La formation de figure comme processus actif</w:t>
      </w:r>
    </w:p>
    <w:p>
      <w:pPr>
        <w:ind w:firstLine="720"/>
      </w:pPr>
      <w:r>
        <w:t>Ce qui est crucial, et ce qui rapproche la Gestalt de la complémentarité de Bohr, c'est que la formation de figure n'est pas un processus passif de réception d'informations préexistantes. C'est un processus actif, performatif, qui implique l'ensemble de l'état psycho-corporel de l'organisme.</w:t>
      </w:r>
    </w:p>
    <w:p>
      <w:pPr>
        <w:ind w:firstLine="720"/>
      </w:pPr>
      <w:r>
        <w:t>Plusieurs facteurs influencent ce processus. L'état physiologique (faim, fatigue, confort) modifie ce qui émerge comme figure. L'état émotionnel (anxiété, sérénité, excitation) fait de même. Les intérêts, les valeurs, les croyances, l'histoire personnelle — tous ces éléments participent à déterminer ce qui deviendra figure et ce qui restera fond.</w:t>
      </w:r>
    </w:p>
    <w:p>
      <w:pPr>
        <w:ind w:firstLine="720"/>
      </w:pPr>
      <w:r>
        <w:t>Deux personnes marchant dans la même rue ne verront pas la même chose. L'une, architecte, sera sensible aux formes des bâtiments. L'autre, gourmande, remarquera les devantures de pâtisseries. Ce n'est pas que les autres éléments soient invisibles : ils sont présents dans le champ, mais ne s'organisent pas comme figures. Ils restent dans le fond, disponibles mais non actualisés.</w:t>
      </w:r>
    </w:p>
    <w:p>
      <w:pPr>
        <w:ind w:firstLine="720"/>
      </w:pPr>
      <w:r>
        <w:t>Cette disponibilité du fond est essentielle. Ce qui est au fond n'est pas absent : il est présent comme potentiel, comme réserve de figures possibles. Le fond est le domaine du non-encore-actualisé, du pas-encore-émergé. Et cette réserve est inépuisable : il y a toujours plus de fond que de figure, plus de non-manifesté que de manifesté.</w:t>
      </w:r>
    </w:p>
    <w:p>
      <w:pPr>
        <w:pStyle w:val="Heading2"/>
      </w:pPr>
      <w:r>
        <w:t>Les quatre traits structuraux</w:t>
      </w:r>
    </w:p>
    <w:p>
      <w:pPr>
        <w:ind w:firstLine="720"/>
      </w:pPr>
      <w:r>
        <w:t>Comparons maintenant cette description à la complémentarité de Bohr. Nous retrouvons les quatre traits structuraux identifiés précédemment :</w:t>
      </w:r>
    </w:p>
    <w:p>
      <w:pPr>
        <w:ind w:firstLine="720"/>
      </w:pPr>
      <w:r>
        <w:t>(a) Ce qui apparaît (la figure) dépend du dispositif (l'état de l'organisme). Ce n'est pas une propriété objective de l'environnement qui détermine ce qui devient figure, mais l'interaction entre l'environnement et l'état de l'organisme. La vitrine de pâtisserie ne devient figure que pour celui qui a faim ou qui aime les pâtisseries.</w:t>
      </w:r>
    </w:p>
    <w:p>
      <w:pPr>
        <w:ind w:firstLine="720"/>
      </w:pPr>
      <w:r>
        <w:t>(b) Les descriptions (les configurations figure/fond) sont partielles et mutuellement exclusives. À un instant donné, vous ne pouvez pas avoir deux figures simultanées avec la même intensité. Si votre attention est sur la vitrine, elle n'est pas sur le visage. Cette exclusion n'est pas absolue (on peut avoir une conscience périphérique), mais elle est réelle : l'attention est un phénomène sélectif.</w:t>
      </w:r>
    </w:p>
    <w:p>
      <w:pPr>
        <w:ind w:firstLine="720"/>
      </w:pPr>
      <w:r>
        <w:t>(c) Cette partialité n'est pas un défaut à corriger, mais la condition de toute perception déterminée. Si tout était figure avec la même intensité, il n'y aurait pas de perception du tout, juste une confusion indifférenciée. La sélection est constitutive de la perception.</w:t>
      </w:r>
    </w:p>
    <w:p>
      <w:pPr>
        <w:ind w:firstLine="720"/>
      </w:pPr>
      <w:r>
        <w:t>(d) Ce qui n'apparaît pas dans une configuration donnée (le fond) n'est pas absent, mais en réserve. Le fond est une réserve de figures possibles, toujours disponible pour émerger si les conditions changent.</w:t>
      </w:r>
    </w:p>
    <w:p>
      <w:pPr>
        <w:ind w:firstLine="720"/>
      </w:pPr>
      <w:r>
        <w:t>La correspondance structurelle est frappante. Sans qu'il y ait eu la moindre influence directe entre Bohr et Perls, sans que les deux hommes se soient jamais rencontrés ou cités, ils ont développé des descriptions qui partagent une même architecture relationnelle.</w:t>
      </w:r>
    </w:p>
    <w:p>
      <w:pPr>
        <w:pStyle w:val="Heading2"/>
      </w:pPr>
      <w:r>
        <w:t>Ce que la Gestalt ajoute</w:t>
      </w:r>
    </w:p>
    <w:p>
      <w:pPr>
        <w:ind w:firstLine="720"/>
      </w:pPr>
      <w:r>
        <w:t>Mais la Gestalt n'est pas simplement un « autre exemple » de la même structure. Elle apporte des dimensions que Bohr n'a pas développées, et qui enrichissent notre compréhension du motif.</w:t>
      </w:r>
    </w:p>
    <w:p>
      <w:pPr>
        <w:ind w:firstLine="720"/>
      </w:pPr>
      <w:r>
        <w:t>Premièrement, la dimension temporelle vécue. Chez Bohr, la complémentarité est souvent présentée de manière assez statique : on a tel ou tel aspect selon le dispositif. En Gestalt, la dynamique figure/fond est intrinsèquement temporelle. Les figures se forment, se maintiennent, se détruisent, laissent place à d'autres. C'est un flux continu, un processus vivant.</w:t>
      </w:r>
    </w:p>
    <w:p>
      <w:pPr>
        <w:ind w:firstLine="720"/>
      </w:pPr>
      <w:r>
        <w:t>Deuxièmement, la multiplicité des dimensions perceptives simultanées. La perception n'est pas unidimensionnelle : elle implique simultanément la vue, l'ouïe, le toucher, l'odorat, la proprioception. Chacune de ces dimensions a sa propre dynamique figure/fond, et ces dynamiques sont enchevêtrées. Ce que je vois influence ce que j'entends, et vice versa.</w:t>
      </w:r>
    </w:p>
    <w:p>
      <w:pPr>
        <w:ind w:firstLine="720"/>
      </w:pPr>
      <w:r>
        <w:t>Troisièmement, le caractère graduel plutôt que binaire de l'émergence. Chez Bohr, on a souvent l'impression d'un basculement net : ondulation ou corpuscule. En Gestalt, la figure n'émerge pas brutalement : elle se précise progressivement, gagne en netteté et en intensité. Il y a des degrés de figuralité, des niveaux de saillance.</w:t>
      </w:r>
    </w:p>
    <w:p>
      <w:pPr>
        <w:ind w:firstLine="720"/>
      </w:pPr>
      <w:r>
        <w:t>Ces ajouts sont précieux. Ils montrent que le motif de la coupe constitutive n'est pas une structure rigide et binaire, mais une dynamique fluide et graduée. Ils ouvrent la voie à une compréhension plus nuancée de ce que peut être une complémentarité.</w:t>
      </w:r>
    </w:p>
    <w:p>
      <w:pPr>
        <w:pStyle w:val="Heading1"/>
      </w:pPr>
      <w:bookmarkStart w:name="_Toc005" w:id="005"/>
      <w:r>
        <w:t>V. La métastabilité de Kelso</w:t>
      </w:r>
      <w:bookmarkEnd w:id="005"/>
    </w:p>
    <w:p>
      <w:pPr>
        <w:pStyle w:val="Heading2"/>
      </w:pPr>
      <w:r>
        <w:t>Ni fusion ni séparation : la dynamique de coordination</w:t>
      </w:r>
    </w:p>
    <w:p>
      <w:pPr>
        <w:ind w:firstLine="720"/>
      </w:pPr>
      <w:r>
        <w:t>La dynamique de coordination de Scott Kelso fournit un cadre formalisé mathématiquement où la complémentarité n'est plus une interprétation philosophique mais un régime dynamique observable : la métastabilité. Dans ce régime, les tendances intégratives (coopération, synchronisation) et les tendances ségrégatives (autonomie, différenciation) coexistent sans se résoudre en un état stable. Kelso a explicitement relié ce régime au projet de Bohr d'un principe généralisé de complémentarité.</w:t>
      </w:r>
    </w:p>
    <w:p>
      <w:pPr>
        <w:pStyle w:val="Heading2"/>
      </w:pPr>
      <w:r>
        <w:t>Le modèle HKB</w:t>
      </w:r>
    </w:p>
    <w:p>
      <w:pPr>
        <w:ind w:firstLine="720"/>
      </w:pPr>
      <w:r>
        <w:t>Dans les années 1980, Scott Kelso et ses collaborateurs menaient des expériences sur la coordination motrice. Dans une tâche classique, les sujets devaient bouger leurs index de manière rythmique, soit en phase (mouvements simultanés dans la même direction), soit en anti-phase (mouvements alternés). Kelso observa que lorsque la fréquence des mouvements augmentait, les sujets passaient spontanément de l'anti-phase à la phase, mais jamais l'inverse.</w:t>
      </w:r>
    </w:p>
    <w:p>
      <w:pPr>
        <w:ind w:firstLine="720"/>
      </w:pPr>
      <w:r>
        <w:t>Cette observation simple mais robuste fut le point de départ d'une formalisation mathématique qui deviendra le modèle HKB (Haken-Kelso-Bunz). Ce modèle décrit la dynamique de coordination par une équation différentielle qui capture les transitions de phase observées expérimentalement.</w:t>
      </w:r>
    </w:p>
    <w:p>
      <w:pPr>
        <w:ind w:firstLine="720"/>
      </w:pPr>
      <w:r>
        <w:t>L'aspect remarquable de ce modèle est qu'il ne suppose aucun programme prédéfini dans le cerveau. La coordination émerge de propriétés collectives du système, de ce que les physiciens appellent des variables d'ordre. Le système « choisit » spontanément certaines configurations stables, et ces configurations changent qualitativement (transition de phase) lorsque certains paramètres franchissent des seuils critiques.</w:t>
      </w:r>
    </w:p>
    <w:p>
      <w:pPr>
        <w:pStyle w:val="Heading2"/>
      </w:pPr>
      <w:r>
        <w:t>La philosophie des paires complémentaires</w:t>
      </w:r>
    </w:p>
    <w:p>
      <w:pPr>
        <w:ind w:firstLine="720"/>
      </w:pPr>
      <w:r>
        <w:t>Au fil de ses recherches, Kelso a développé ce qu'il appelle une « philosophie des paires complémentaires », explicitement inspirée de Bohr. Avec David Engstrøm, il a proposé que les contraires ne sont pas mutuellement exclusifs mais mutuellement reliés et inextricablement connectés.</w:t>
      </w:r>
    </w:p>
    <w:p>
      <w:pPr>
        <w:ind w:firstLine="720"/>
      </w:pPr>
      <w:r>
        <w:t>Pour symboliser cette connexion, Kelso et Engstrøm ont introduit le tilde (~) comme opérateur de complémentarité. Ainsi, on peut écrire : individu~collectif, intégration~ségrégation, esprit~cerveau, nature~culture. Le tilde indique que les termes ne sont pas opposés à exclure l'un l'autre, mais complémentaires à penser ensemble.</w:t>
      </w:r>
    </w:p>
    <w:p>
      <w:pPr>
        <w:ind w:firstLine="720"/>
      </w:pPr>
      <w:r>
        <w:t>Cette notation n'est pas qu'une commodité symbolique. Elle exprime une thèse ontologique : les « pôles » d'une paire complémentaire ne sont jamais réalisés à l'état pur. Il n'y a pas d'individu absolument isolé, ni de collectif totalement fusionnel. Il n'y a pas d'esprit sans cerveau, ni de cerveau sans esprit. Chaque terme implique l'autre, et leur séparation est une abstraction.</w:t>
      </w:r>
    </w:p>
    <w:p>
      <w:pPr>
        <w:pStyle w:val="Heading2"/>
      </w:pPr>
      <w:r>
        <w:t>La métastabilité</w:t>
      </w:r>
    </w:p>
    <w:p>
      <w:pPr>
        <w:ind w:firstLine="720"/>
      </w:pPr>
      <w:r>
        <w:t>Le concept-clé de la dynamique de coordination est celui de métastabilité. Ce terme désigne un régime dynamique particulier, distinct à la fois de la stabilité et de l'instabilité.</w:t>
      </w:r>
    </w:p>
    <w:p>
      <w:pPr>
        <w:ind w:firstLine="720"/>
      </w:pPr>
      <w:r>
        <w:t>Dans un état stable, le système est figé dans un attracteur. Il résiste aux perturbations et revient toujours vers le même point d'équilibre. Dans un état instable, le système est chaotique, sans structure prévisible. La métastabilité est un entre-deux : le système n'est pas figé dans un attracteur, mais il n'est pas pour autant désordonné. Il explore un espace de possibles, maintenant une tension créative entre différentes tendances.</w:t>
      </w:r>
    </w:p>
    <w:p>
      <w:pPr>
        <w:ind w:firstLine="720"/>
      </w:pPr>
      <w:r>
        <w:t>Kelso décrit la métastabilité comme un régime où « les fantômes des attracteurs persistent sans que le système ne s'y fixe ». Le système « sent » les attracteurs possibles, y est attiré, mais ne s'y engage pas définitivement. C'est un état de disponibilité, d'ouverture, de créativité.</w:t>
      </w:r>
    </w:p>
    <w:p>
      <w:pPr>
        <w:ind w:firstLine="720"/>
      </w:pPr>
      <w:r>
        <w:t>Cette description rappelle étrangement celle du fond en Gestalt. Le fond, nous l'avons vu, est une réserve de figures possibles. La métastabilité est un régime où les possibles restent ouverts, où aucune actualisation n'est définitive. Les deux concepts pointent vers la même structure : la coexistence du manifesté et du non-manifesté, de l'actualisé et du potentiel.</w:t>
      </w:r>
    </w:p>
    <w:p>
      <w:pPr>
        <w:pStyle w:val="Heading2"/>
      </w:pPr>
      <w:r>
        <w:t>Les données expérimentales</w:t>
      </w:r>
    </w:p>
    <w:p>
      <w:pPr>
        <w:ind w:firstLine="720"/>
      </w:pPr>
      <w:r>
        <w:t>Ce qui distingue la dynamique de coordination des autres approches présentées ici, c'est son ancrage empirique. Kelso ne se contente pas de spéculations philosophiques : il produit des prédictions testables et les vérifie expérimentalement.</w:t>
      </w:r>
    </w:p>
    <w:p>
      <w:pPr>
        <w:ind w:firstLine="720"/>
      </w:pPr>
      <w:r>
        <w:t>Les expériences sur le mouvement bimanuel ont été reprises et étendues par de nombreuses équipes à travers le monde. Les résultats sont robustes : la transition de phase anti-phase vers phase se produit systématiquement lorsque la fréquence augmente, et cette transition présente les caractéristiques signatures des transitions de phase critiques (fluctuations croissantes, ralentissement critique, etc.).</w:t>
      </w:r>
    </w:p>
    <w:p>
      <w:pPr>
        <w:ind w:firstLine="720"/>
      </w:pPr>
      <w:r>
        <w:t>Mais Kelso a étendu son approche bien au-delà du mouvement bimanuel. La coordination neuronale, la dynamique sociale, la perception-action, le développement — tous ces domaines ont été étudiés à travers le prisme de la dynamique de coordination. Partout, on retrouve les mêmes signatures : transitions de phase, multistabilité, métastabilité.</w:t>
      </w:r>
    </w:p>
    <w:p>
      <w:pPr>
        <w:ind w:firstLine="720"/>
      </w:pPr>
      <w:r>
        <w:t>C'est ce qui fait de la dynamique de coordination le domaine le plus scientifiquement armé parmi les quatre présentés. Elle combine une base empirique solide avec une formalisation mathématique rigoureuse, tout en maintenant une portée philosophique qui dépasse largement son domaine d'origine.</w:t>
      </w:r>
    </w:p>
    <w:p>
      <w:pPr>
        <w:pStyle w:val="Heading2"/>
      </w:pPr>
      <w:r>
        <w:t>Ce que Kelso partage avec les autres domaines</w:t>
      </w:r>
    </w:p>
    <w:p>
      <w:pPr>
        <w:ind w:firstLine="720"/>
      </w:pPr>
      <w:r>
        <w:t>Comparons maintenant la métastabilité aux autres domaines. Nous retrouvons les mêmes traits structuraux :</w:t>
      </w:r>
    </w:p>
    <w:p>
      <w:pPr>
        <w:ind w:firstLine="720"/>
      </w:pPr>
      <w:r>
        <w:t>(a) Les « pôles » d'une paire complémentaire ne sont jamais réalisés à l'état pur. La métastabilité requiert des différences entre composants et un couplage. Si les composants étaient totalement identiques, il n'y aurait pas de différenciation. S'ils étaient totalement indépendants, il n'y aurait pas de coordination. C'est la tension entre ces deux tendances qui crée le régime métastable.</w:t>
      </w:r>
    </w:p>
    <w:p>
      <w:pPr>
        <w:ind w:firstLine="720"/>
      </w:pPr>
      <w:r>
        <w:t>(b) Le système ne « choisit » pas un pôle : il génère un régime dynamique entre les pôles. Ce n'est pas un compromis, une moyenne entre deux états. C'est un mode de fonctionnement propre, qui a ses propres propriétés émergentes.</w:t>
      </w:r>
    </w:p>
    <w:p>
      <w:pPr>
        <w:ind w:firstLine="720"/>
      </w:pPr>
      <w:r>
        <w:t>(c) Ce régime est constitutif : il n'est pas un compromis entre deux états préexistants mais un mode de fonctionnement propre. La métastabilité n'est pas une défaillance de la coordination, c'est une forme de coordination à part entière, peut-être la plus fondamentale.</w:t>
      </w:r>
    </w:p>
    <w:p>
      <w:pPr>
        <w:ind w:firstLine="720"/>
      </w:pPr>
      <w:r>
        <w:t>(d) Ce qui n'est pas actualisé reste présent comme potentiel. Les « fantômes des attracteurs » persistent, maintenant une réserve de possibles.</w:t>
      </w:r>
    </w:p>
    <w:p>
      <w:pPr>
        <w:pStyle w:val="Heading2"/>
      </w:pPr>
      <w:r>
        <w:t>Une limite à noter</w:t>
      </w:r>
    </w:p>
    <w:p>
      <w:pPr>
        <w:ind w:firstLine="720"/>
      </w:pPr>
      <w:r>
        <w:t>Il convient de noter une limite de l'approche de Kelso. Il traite principalement les paires complémentaires de manière discrète, une paire à la fois : intégration/ségrégation, individu/collectif, etc. La question de l'enchevêtrement de multiples paires simultanées reste peu développée dans son cadre.</w:t>
      </w:r>
    </w:p>
    <w:p>
      <w:pPr>
        <w:ind w:firstLine="720"/>
      </w:pPr>
      <w:r>
        <w:t>Or, comme nous l'avons vu avec la Gestalt, l'expérience vécue implique simultanément de multiples dimensions complémentaires. Comment formaliser cette multiplicité ? Comment décrire mathématiquement l'enchevêtrement des coupes ? C'est une question ouverte que notre lecture transversale permet de formuler, même si elle n'en fournit pas la solution.</w:t>
      </w:r>
    </w:p>
    <w:p>
      <w:pPr>
        <w:pStyle w:val="Heading1"/>
      </w:pPr>
      <w:bookmarkStart w:name="_Toc006" w:id="006"/>
      <w:r>
        <w:t>VI. Les coupes agentielles de Barad</w:t>
      </w:r>
      <w:bookmarkEnd w:id="006"/>
    </w:p>
    <w:p>
      <w:pPr>
        <w:pStyle w:val="Heading2"/>
      </w:pPr>
      <w:r>
        <w:t>La coupe qui produit ce qu'elle sépare</w:t>
      </w:r>
    </w:p>
    <w:p>
      <w:pPr>
        <w:ind w:firstLine="720"/>
      </w:pPr>
      <w:r>
        <w:t>Le réalisme agentiel de Karen Barad fournit l'armature ontologique du motif identifié dans les trois domaines précédents. En formalisant la notion de coupe agentielle — une séparation qui ne préexiste pas à l'intra-action qui la produit — Barad transforme la complémentarité de Bohr d'une thèse sur les limites de la description en une thèse sur la constitution performative du réel. Chez Barad, le dispositif ne révèle ni ne perturbe : il co-produit.</w:t>
      </w:r>
    </w:p>
    <w:p>
      <w:pPr>
        <w:pStyle w:val="Heading2"/>
      </w:pPr>
      <w:r>
        <w:t>La filiation avec Bohr</w:t>
      </w:r>
    </w:p>
    <w:p>
      <w:pPr>
        <w:ind w:firstLine="720"/>
      </w:pPr>
      <w:r>
        <w:t>Karen Barad est physicienne de formation, formée à la physique théorique et à la philosophie des sciences. Son travail doctoral, puis son livre majeur Meeting the Universe Halfway (2007), constituent une relecture philosophique approfondie de la complémentarité de Bohr.</w:t>
      </w:r>
    </w:p>
    <w:p>
      <w:pPr>
        <w:ind w:firstLine="720"/>
      </w:pPr>
      <w:r>
        <w:t>Mais Barad ne se contente pas de commenter Bohr. Elle transforme sa thèse en une ontologie relationnelle complète. Là où Bohr parlait de conditions de description, Barad parle de modes de matérialisation. Là où Bohr restait prudent sur les implications ontologiques, Barad les développe systématiquement.</w:t>
      </w:r>
    </w:p>
    <w:p>
      <w:pPr>
        <w:ind w:firstLine="720"/>
      </w:pPr>
      <w:r>
        <w:t>Cette transformation n'est pas une trahison de Bohr. Barad lit attentivement les textes, y compris les textes moins connus, et montre que les implications ontologiques étaient déjà présentes chez Bohr, même s'il ne les a pas développées explicitement. La coupe agentielle est la formalisation de ce que Bohr pressentait : le dispositif et le phénomène sont ontologiquement inséparables.</w:t>
      </w:r>
    </w:p>
    <w:p>
      <w:pPr>
        <w:pStyle w:val="Heading2"/>
      </w:pPr>
      <w:r>
        <w:t>Intra-action et phénomène</w:t>
      </w:r>
    </w:p>
    <w:p>
      <w:pPr>
        <w:ind w:firstLine="720"/>
      </w:pPr>
      <w:r>
        <w:t>Le concept central de Barad est celui d'intra-action. Ce terme, qu'elle a forgé, désigne une interaction qui ne suppose pas d'agents préexistants. Contrairement à l'interaction, qui suppose des entités déjà constituées qui « inter-agissent », l'intra-action produit les entités qui agissent.</w:t>
      </w:r>
    </w:p>
    <w:p>
      <w:pPr>
        <w:ind w:firstLine="720"/>
      </w:pPr>
      <w:r>
        <w:t>Cette distinction est cruciale. Elle signifie que la séparation entre observateur et observé, entre sujet et objet, entre cause et effet, n'est pas un point de départ mais un résultat. Ces séparations sont produites par des coupes agentielles qui opèrent au sein de l'intra-action.</w:t>
      </w:r>
    </w:p>
    <w:p>
      <w:pPr>
        <w:ind w:firstLine="720"/>
      </w:pPr>
      <w:r>
        <w:t>Le phénomène, au sens baradien, est l'unité première d'analyse. Il n'y a pas d'objet derrière le phénomène, pas de réalité préexistante que le phénomène révélerait ou masquerait. Le phénomène est la réalité, dans sa dimension phénoménale.</w:t>
      </w:r>
    </w:p>
    <w:p>
      <w:pPr>
        <w:ind w:firstLine="720"/>
      </w:pPr>
      <w:r>
        <w:t>Cette formulation peut paraître idéaliste, mais elle ne l'est pas. Barad insiste sur la dimension matérielle-discursive des phénomènes. Les phénomènes ne sont pas des constructions pures de l'esprit : ils sont matériellement enactés, produits par des pratiques matérielles spécifiques.</w:t>
      </w:r>
    </w:p>
    <w:p>
      <w:pPr>
        <w:pStyle w:val="Heading2"/>
      </w:pPr>
      <w:r>
        <w:t>La coupe agentielle</w:t>
      </w:r>
    </w:p>
    <w:p>
      <w:pPr>
        <w:ind w:firstLine="720"/>
      </w:pPr>
      <w:r>
        <w:t>Le concept de coupe agentielle est la pierre angulaire du réalisme agentiel. Une coupe agentielle est une séparation qui ne préexiste pas à l'intra-action qui la produit. Elle est « agissante » (agentielle) parce qu'elle fait quelque chose : elle constitue des entités distinctes, elle crée des différences, elle produit du sens.</w:t>
      </w:r>
    </w:p>
    <w:p>
      <w:pPr>
        <w:ind w:firstLine="720"/>
      </w:pPr>
      <w:r>
        <w:t>Barad oppose la coupe agentielle à la coupe cartésienne. La coupe cartésienne sépare nettement le sujet pensant de l'objet pensé, le corps de l'esprit, la nature de la culture. Ces séparations sont présupposées comme fondements de la connaissance. La coupe agentielle, au contraire, ne présuppose rien : elle produit les séparations comme effets.</w:t>
      </w:r>
    </w:p>
    <w:p>
      <w:pPr>
        <w:ind w:firstLine="720"/>
      </w:pPr>
      <w:r>
        <w:t>Cette production n'est pas arbitraire. Les coupes agentielles ne sont pas des coupures quelconques : elles sont contraintes par les matérialités qui les supportent. On ne peut pas couper n'importe où, n'importe comment. Mais ces contraintes ne déterminent pas une seule coupe possible : elles laissent ouvert un espace de possibles.</w:t>
      </w:r>
    </w:p>
    <w:p>
      <w:pPr>
        <w:ind w:firstLine="720"/>
      </w:pPr>
      <w:r>
        <w:t>C'est là que réside la dimension éthique du réalisme agentiel. Puisque les coupes ne sont pas déterminées d'avance, puisqu'il y a toujours plusieurs façons de couper, chaque coupe engage une responsabilité. Couper d'une certaine manière, c'est exclure d'autres possibles. Cette exclusion a des conséquences matérielles.</w:t>
      </w:r>
    </w:p>
    <w:p>
      <w:pPr>
        <w:pStyle w:val="Heading2"/>
      </w:pPr>
      <w:r>
        <w:t>Ce que Barad partage avec les autres domaines</w:t>
      </w:r>
    </w:p>
    <w:p>
      <w:pPr>
        <w:ind w:firstLine="720"/>
      </w:pPr>
      <w:r>
        <w:t>Comparons maintenant le réalisme agentiel aux autres domaines. Nous retrouvons les mêmes traits structuraux, mais formulés en termes ontologiques :</w:t>
      </w:r>
    </w:p>
    <w:p>
      <w:pPr>
        <w:ind w:firstLine="720"/>
      </w:pPr>
      <w:r>
        <w:t>(a) Pas de propriétés préexistantes à l'intra-action. Ce qui apparaît comme propriété d'une entité est produit par la coupe qui constitue cette entité. La propriété n'appartient pas à un objet préexistant : elle émerge de la relation.</w:t>
      </w:r>
    </w:p>
    <w:p>
      <w:pPr>
        <w:ind w:firstLine="720"/>
      </w:pPr>
      <w:r>
        <w:t>(b) La séparation observateur/observé est un résultat, pas un point de départ. C'est la coupe agentielle qui produit cette séparation, qui constitue des entités comme « observateur » et « observé ».</w:t>
      </w:r>
    </w:p>
    <w:p>
      <w:pPr>
        <w:ind w:firstLine="720"/>
      </w:pPr>
      <w:r>
        <w:t>(c) Toute coupe inclut et exclut simultanément. Elle fait apparaître en rendant autre chose non-manifeste. Cette exclusion n'est pas une simple négation : c'est une production active du non-manifeste comme tel.</w:t>
      </w:r>
    </w:p>
    <w:p>
      <w:pPr>
        <w:ind w:firstLine="720"/>
      </w:pPr>
      <w:r>
        <w:t>(d) Ce qui est exclu n'est pas absent : il est présent comme potentiel, comme réserve de possibles. L'intra-action maintient ouverte une multiplicité de coupes possibles.</w:t>
      </w:r>
    </w:p>
    <w:p>
      <w:pPr>
        <w:pStyle w:val="Heading2"/>
      </w:pPr>
      <w:r>
        <w:t>Ce que Barad ajoute</w:t>
      </w:r>
    </w:p>
    <w:p>
      <w:pPr>
        <w:ind w:firstLine="720"/>
      </w:pPr>
      <w:r>
        <w:t>Barad apporte trois dimensions qui enrichissent considérablement notre compréhension du motif :</w:t>
      </w:r>
    </w:p>
    <w:p>
      <w:pPr>
        <w:ind w:firstLine="720"/>
      </w:pPr>
      <w:r>
        <w:t>Premièrement, la dimension éthique. Toute coupe a des conséquences, toute exclusion engage une responsabilité. Ce n'est pas simplement que certaines coupes sont « meilleures » que d'autres au sens pragmatique : c'est qu'elles ont des effets réels sur le monde, sur les possibles qui restent ouverts ou qui sont fermés.</w:t>
      </w:r>
    </w:p>
    <w:p>
      <w:pPr>
        <w:ind w:firstLine="720"/>
      </w:pPr>
      <w:r>
        <w:t>Deuxièmement, la dimension matérielle-discursive. Les coupes ne sont pas seulement conceptuelles : elles sont matériellement enactées. Elles impliquent des pratiques, des dispositifs, des agencements matériels. Parler d'une coupe, c'est parler d'une matérialité spécifique.</w:t>
      </w:r>
    </w:p>
    <w:p>
      <w:pPr>
        <w:ind w:firstLine="720"/>
      </w:pPr>
      <w:r>
        <w:t>Troisièmement, l'extension au-delà de l'humain. Les coupes agentielles ne requièrent pas un agent humain. Des coupes peuvent opérer dans des intra-actions non-humaines, entre animaux, entre appareils, entre processus naturels. L'humain n'est pas le seul agent de coupure.</w:t>
      </w:r>
    </w:p>
    <w:p>
      <w:pPr>
        <w:pStyle w:val="Heading2"/>
      </w:pPr>
      <w:r>
        <w:t>Une limite à noter</w:t>
      </w:r>
    </w:p>
    <w:p>
      <w:pPr>
        <w:ind w:firstLine="720"/>
      </w:pPr>
      <w:r>
        <w:t>Il convient de noter une limite de l'approche de Barad. Elle reste relativement binaire sur la coupe elle-même : il y a coupe ou pas coupe, et la coupe est « nette » au sens où elle produit une séparation déterminée.</w:t>
      </w:r>
    </w:p>
    <w:p>
      <w:pPr>
        <w:ind w:firstLine="720"/>
      </w:pPr>
      <w:r>
        <w:t>Or, comme nous l'avons vu avec la Gestalt et avec Kelso, il y a des degrés de coupe. Certaines coupes sont plus rigides que d'autres, certaines sont plus poreuses. La question du degré de la coupe (sa porosité, sa rigidité) n'est pas développée chez Barad. C'est une ouverture que notre lecture transversale permet d'identifier.</w:t>
      </w:r>
    </w:p>
    <w:p>
      <w:pPr>
        <w:pStyle w:val="Heading1"/>
      </w:pPr>
      <w:bookmarkStart w:name="_Toc007" w:id="007"/>
      <w:r>
        <w:t>VII. Le motif commun</w:t>
      </w:r>
      <w:bookmarkEnd w:id="007"/>
    </w:p>
    <w:p>
      <w:pPr>
        <w:pStyle w:val="Heading2"/>
      </w:pPr>
      <w:r>
        <w:t>Ce que le cloisonnement disciplinaire empêche de voir</w:t>
      </w:r>
    </w:p>
    <w:p>
      <w:pPr>
        <w:ind w:firstLine="720"/>
      </w:pPr>
      <w:r>
        <w:t>Les quatre domaines présentés, malgré leurs différences de mécanisme, d'échelle et de vocabulaire, partagent un motif structurel identifiable. Ce motif peut être formulé en quatre propositions : (1) ce qui apparaît comme phénomène est co-constitué par le dispositif d'observation ; (2) les descriptions possibles sont partielles et mutuellement conditionnées ; (3) cette partialité n'est pas un défaut mais la condition de toute détermination ; et (4) ce qui n'apparaît pas dans une configuration donnée n'est pas absent mais en réserve. Nous proposons de nommer ce motif le « motif de la coupe constitutive ».</w:t>
      </w:r>
    </w:p>
    <w:p>
      <w:pPr>
        <w:pStyle w:val="Heading2"/>
      </w:pPr>
      <w:r>
        <w:t>Formulation du motif</w:t>
      </w:r>
    </w:p>
    <w:p>
      <w:pPr>
        <w:ind w:firstLine="720"/>
      </w:pPr>
      <w:r>
        <w:t>Le motif de la coupe constitutive peut être formulé dans un langage neutre, non attaché à un domaine particulier :</w:t>
      </w:r>
    </w:p>
    <w:p>
      <w:pPr>
        <w:ind w:firstLine="720"/>
      </w:pPr>
      <w:r>
        <w:t>Toute manifestation dépend d'une opération de coupure qui sélectionne, actualise et fige certains aspects d'un champ de possibles, tout en maintenant les autres aspects en réserve. Cette coupure n'est pas une simple sélection parmi des options préexistantes : elle co-constitue ce qui apparaît. Ce qui est « là » dépend de comment on coupe, et cette dépendance n'est pas un biais à corriger mais la condition même de toute manifestation.</w:t>
      </w:r>
    </w:p>
    <w:p>
      <w:pPr>
        <w:ind w:firstLine="720"/>
      </w:pPr>
      <w:r>
        <w:t>Cette formulation est volontairement abstraite. Elle vise à capturer la structure relationnelle commune sans se laisser enfermer dans un vocabulaire disciplinaire particulier. Elle peut être traduite dans les termes de chaque domaine :</w:t>
      </w:r>
    </w:p>
    <w:p>
      <w:pPr>
        <w:ind w:firstLine="720"/>
      </w:pPr>
      <w:r>
        <w:t>— En physique quantique (Bohr) : le dispositif expérimental co-constitue le phénomène. Les aspects corpusculaire et ondulatoire sont complémentaires : chacun est complet dans son cadre, mais ils ne peuvent être combinés. Ce qui n'est pas actualisé reste présent comme potentiel.</w:t>
      </w:r>
    </w:p>
    <w:p>
      <w:pPr>
        <w:ind w:firstLine="720"/>
      </w:pPr>
      <w:r>
        <w:t>— En psychothérapie (Gestalt) : l'état de l'organisme co-constitue ce qui émerge comme figure. Les configurations figure/fond sont mutuellement exclusives à un instant donné. Le fond est une réserve de figures possibles.</w:t>
      </w:r>
    </w:p>
    <w:p>
      <w:pPr>
        <w:ind w:firstLine="720"/>
      </w:pPr>
      <w:r>
        <w:t>— En neurosciences (Kelso) : la dynamique de coordination génère des régimes métastables où les tendances opposées coexistent. Les paires complémentaires ne sont jamais réalisées à l'état pur. Les « fantômes des attracteurs » maintiennent les possibles ouverts.</w:t>
      </w:r>
    </w:p>
    <w:p>
      <w:pPr>
        <w:ind w:firstLine="720"/>
      </w:pPr>
      <w:r>
        <w:t>— En philosophie (Barad) : la coupe agentielle co-produit les entités qu'elle sépare. Les coupes incluent et excluent simultanément. Ce qui est exclu reste présent dans l'intra-action comme potentiel.</w:t>
      </w:r>
    </w:p>
    <w:p>
      <w:pPr>
        <w:pStyle w:val="Heading2"/>
      </w:pPr>
      <w:r>
        <w:t>Tableau synthétique</w:t>
      </w:r>
    </w:p>
    <w:p>
      <w:pPr>
        <w:ind w:firstLine="720"/>
      </w:pPr>
      <w:r>
        <w:t>Pour clarifier les correspondances, proposons un tableau mettant en regard les quatre domaines selon les quatre traits du motif. Ce tableau n'est pas une démonstration : c'est une clarification, un outil pour voir les connexions.</w:t>
      </w:r>
    </w:p>
    <w:tbl>
      <w:tblPr>
        <w:tblW w:w="5000" w:type="pct"/>
        <w:tblBorders>
          <w:top w:val="single" w:color="1e3a5f" w:sz="12"/>
          <w:left w:val="nil"/>
          <w:bottom w:val="single" w:color="1e3a5f" w:sz="12"/>
          <w:right w:val="nil"/>
          <w:insideH w:val="single" w:color="d1d5db" w:sz="4"/>
          <w:insideV w:val="nil"/>
        </w:tblBorders>
        <w:tblCellMar>
          <w:top w:w="100" w:type="dxa"/>
          <w:left w:w="150" w:type="dxa"/>
          <w:bottom w:w="100" w:type="dxa"/>
          <w:right w:w="150" w:type="dxa"/>
        </w:tblCellMar>
      </w:tblPr>
      <w:tblGrid>
        <w:gridCol w:w="2000"/>
        <w:gridCol w:w="2000"/>
        <w:gridCol w:w="2000"/>
        <w:gridCol w:w="2000"/>
        <w:gridCol w:w="2000"/>
      </w:tblGrid>
      <w:tr>
        <w:trPr>
          <w:tblHeader/>
          <w:trHeight w:val="400" w:hRule="atLeast"/>
        </w:trPr>
        <w:tc>
          <w:tcPr>
            <w:tcW w:w="2000" w:type="dxa"/>
            <w:tcBorders>
              <w:bottom w:val="single" w:color="1e3a5f" w:sz="6"/>
            </w:tcBorders>
            <w:shd w:val="clear" w:fill="f7f8fa"/>
            <w:vAlign w:val="center"/>
          </w:tcPr>
          <w:p>
            <w:pPr>
              <w:spacing w:before="0" w:after="0"/>
              <w:jc w:val="center"/>
            </w:pPr>
            <w:r>
              <w:rPr>
                <w:b/>
                <w:color w:val="2c3e50"/>
                <w:sz w:val="22"/>
              </w:rPr>
              <w:t>Trait</w:t>
            </w:r>
          </w:p>
        </w:tc>
        <w:tc>
          <w:tcPr>
            <w:tcW w:w="2000" w:type="dxa"/>
            <w:tcBorders>
              <w:bottom w:val="single" w:color="1e3a5f" w:sz="6"/>
            </w:tcBorders>
            <w:shd w:val="clear" w:fill="f7f8fa"/>
            <w:vAlign w:val="center"/>
          </w:tcPr>
          <w:p>
            <w:pPr>
              <w:spacing w:before="0" w:after="0"/>
              <w:jc w:val="center"/>
            </w:pPr>
            <w:r>
              <w:rPr>
                <w:b/>
                <w:color w:val="2c3e50"/>
                <w:sz w:val="22"/>
              </w:rPr>
              <w:t>Bohr</w:t>
            </w:r>
          </w:p>
        </w:tc>
        <w:tc>
          <w:tcPr>
            <w:tcW w:w="2000" w:type="dxa"/>
            <w:tcBorders>
              <w:bottom w:val="single" w:color="1e3a5f" w:sz="6"/>
            </w:tcBorders>
            <w:shd w:val="clear" w:fill="f7f8fa"/>
            <w:vAlign w:val="center"/>
          </w:tcPr>
          <w:p>
            <w:pPr>
              <w:spacing w:before="0" w:after="0"/>
              <w:jc w:val="center"/>
            </w:pPr>
            <w:r>
              <w:rPr>
                <w:b/>
                <w:color w:val="2c3e50"/>
                <w:sz w:val="22"/>
              </w:rPr>
              <w:t>Gestalt</w:t>
            </w:r>
          </w:p>
        </w:tc>
        <w:tc>
          <w:tcPr>
            <w:tcW w:w="2000" w:type="dxa"/>
            <w:tcBorders>
              <w:bottom w:val="single" w:color="1e3a5f" w:sz="6"/>
            </w:tcBorders>
            <w:shd w:val="clear" w:fill="f7f8fa"/>
            <w:vAlign w:val="center"/>
          </w:tcPr>
          <w:p>
            <w:pPr>
              <w:spacing w:before="0" w:after="0"/>
              <w:jc w:val="center"/>
            </w:pPr>
            <w:r>
              <w:rPr>
                <w:b/>
                <w:color w:val="2c3e50"/>
                <w:sz w:val="22"/>
              </w:rPr>
              <w:t>Kelso</w:t>
            </w:r>
          </w:p>
        </w:tc>
        <w:tc>
          <w:tcPr>
            <w:tcW w:w="2000" w:type="dxa"/>
            <w:tcBorders>
              <w:bottom w:val="single" w:color="1e3a5f" w:sz="6"/>
            </w:tcBorders>
            <w:shd w:val="clear" w:fill="f7f8fa"/>
            <w:vAlign w:val="center"/>
          </w:tcPr>
          <w:p>
            <w:pPr>
              <w:spacing w:before="0" w:after="0"/>
              <w:jc w:val="center"/>
            </w:pPr>
            <w:r>
              <w:rPr>
                <w:b/>
                <w:color w:val="2c3e50"/>
                <w:sz w:val="22"/>
              </w:rPr>
              <w:t>Barad</w:t>
            </w:r>
          </w:p>
        </w:tc>
      </w:tr>
      <w:tr>
        <w:trPr>
          <w:trHeight w:val="380" w:hRule="atLeast"/>
        </w:trPr>
        <w:tc>
          <w:tcPr>
            <w:tcW w:w="2000" w:type="dxa"/>
            <w:vAlign w:val="center"/>
          </w:tcPr>
          <w:p>
            <w:pPr>
              <w:spacing w:before="0" w:after="0"/>
              <w:jc w:val="left"/>
            </w:pPr>
            <w:r>
              <w:rPr>
                <w:color w:val="2c3e50"/>
                <w:sz w:val="21"/>
              </w:rPr>
              <w:t>Co-constitution</w:t>
            </w:r>
          </w:p>
        </w:tc>
        <w:tc>
          <w:tcPr>
            <w:tcW w:w="2000" w:type="dxa"/>
            <w:vAlign w:val="center"/>
          </w:tcPr>
          <w:p>
            <w:pPr>
              <w:spacing w:before="0" w:after="0"/>
              <w:jc w:val="left"/>
            </w:pPr>
            <w:r>
              <w:rPr>
                <w:color w:val="2c3e50"/>
                <w:sz w:val="21"/>
              </w:rPr>
              <w:t>Dispositif expérimental</w:t>
            </w:r>
          </w:p>
        </w:tc>
        <w:tc>
          <w:tcPr>
            <w:tcW w:w="2000" w:type="dxa"/>
            <w:vAlign w:val="center"/>
          </w:tcPr>
          <w:p>
            <w:pPr>
              <w:spacing w:before="0" w:after="0"/>
              <w:jc w:val="left"/>
            </w:pPr>
            <w:r>
              <w:rPr>
                <w:color w:val="2c3e50"/>
                <w:sz w:val="21"/>
              </w:rPr>
              <w:t>État de l'organisme</w:t>
            </w:r>
          </w:p>
        </w:tc>
        <w:tc>
          <w:tcPr>
            <w:tcW w:w="2000" w:type="dxa"/>
            <w:vAlign w:val="center"/>
          </w:tcPr>
          <w:p>
            <w:pPr>
              <w:spacing w:before="0" w:after="0"/>
              <w:jc w:val="left"/>
            </w:pPr>
            <w:r>
              <w:rPr>
                <w:color w:val="2c3e50"/>
                <w:sz w:val="21"/>
              </w:rPr>
              <w:t>Dynamique de coordination</w:t>
            </w:r>
          </w:p>
        </w:tc>
        <w:tc>
          <w:tcPr>
            <w:tcW w:w="2000" w:type="dxa"/>
            <w:vAlign w:val="center"/>
          </w:tcPr>
          <w:p>
            <w:pPr>
              <w:spacing w:before="0" w:after="0"/>
              <w:jc w:val="left"/>
            </w:pPr>
            <w:r>
              <w:rPr>
                <w:color w:val="2c3e50"/>
                <w:sz w:val="21"/>
              </w:rPr>
              <w:t>Intra-action</w:t>
            </w:r>
          </w:p>
        </w:tc>
      </w:tr>
      <w:tr>
        <w:trPr>
          <w:trHeight w:val="380" w:hRule="atLeast"/>
        </w:trPr>
        <w:tc>
          <w:tcPr>
            <w:tcW w:w="2000" w:type="dxa"/>
            <w:vAlign w:val="center"/>
          </w:tcPr>
          <w:p>
            <w:pPr>
              <w:spacing w:before="0" w:after="0"/>
              <w:jc w:val="left"/>
            </w:pPr>
            <w:r>
              <w:rPr>
                <w:color w:val="2c3e50"/>
                <w:sz w:val="21"/>
              </w:rPr>
              <w:t>Partialité</w:t>
            </w:r>
          </w:p>
        </w:tc>
        <w:tc>
          <w:tcPr>
            <w:tcW w:w="2000" w:type="dxa"/>
            <w:vAlign w:val="center"/>
          </w:tcPr>
          <w:p>
            <w:pPr>
              <w:spacing w:before="0" w:after="0"/>
              <w:jc w:val="left"/>
            </w:pPr>
            <w:r>
              <w:rPr>
                <w:color w:val="2c3e50"/>
                <w:sz w:val="21"/>
              </w:rPr>
              <w:t>Descriptions complémentaires</w:t>
            </w:r>
          </w:p>
        </w:tc>
        <w:tc>
          <w:tcPr>
            <w:tcW w:w="2000" w:type="dxa"/>
            <w:vAlign w:val="center"/>
          </w:tcPr>
          <w:p>
            <w:pPr>
              <w:spacing w:before="0" w:after="0"/>
              <w:jc w:val="left"/>
            </w:pPr>
            <w:r>
              <w:rPr>
                <w:color w:val="2c3e50"/>
                <w:sz w:val="21"/>
              </w:rPr>
              <w:t>Figure/fond exclusifs</w:t>
            </w:r>
          </w:p>
        </w:tc>
        <w:tc>
          <w:tcPr>
            <w:tcW w:w="2000" w:type="dxa"/>
            <w:vAlign w:val="center"/>
          </w:tcPr>
          <w:p>
            <w:pPr>
              <w:spacing w:before="0" w:after="0"/>
              <w:jc w:val="left"/>
            </w:pPr>
            <w:r>
              <w:rPr>
                <w:color w:val="2c3e50"/>
                <w:sz w:val="21"/>
              </w:rPr>
              <w:t>Paires complémentaires</w:t>
            </w:r>
          </w:p>
        </w:tc>
        <w:tc>
          <w:tcPr>
            <w:tcW w:w="2000" w:type="dxa"/>
            <w:vAlign w:val="center"/>
          </w:tcPr>
          <w:p>
            <w:pPr>
              <w:spacing w:before="0" w:after="0"/>
              <w:jc w:val="left"/>
            </w:pPr>
            <w:r>
              <w:rPr>
                <w:color w:val="2c3e50"/>
                <w:sz w:val="21"/>
              </w:rPr>
              <w:t>Inclusion/exclusion</w:t>
            </w:r>
          </w:p>
        </w:tc>
      </w:tr>
      <w:tr>
        <w:trPr>
          <w:trHeight w:val="380" w:hRule="atLeast"/>
        </w:trPr>
        <w:tc>
          <w:tcPr>
            <w:tcW w:w="2000" w:type="dxa"/>
            <w:vAlign w:val="center"/>
          </w:tcPr>
          <w:p>
            <w:pPr>
              <w:spacing w:before="0" w:after="0"/>
              <w:jc w:val="left"/>
            </w:pPr>
            <w:r>
              <w:rPr>
                <w:color w:val="2c3e50"/>
                <w:sz w:val="21"/>
              </w:rPr>
              <w:t>Non-défaut</w:t>
            </w:r>
          </w:p>
        </w:tc>
        <w:tc>
          <w:tcPr>
            <w:tcW w:w="2000" w:type="dxa"/>
            <w:vAlign w:val="center"/>
          </w:tcPr>
          <w:p>
            <w:pPr>
              <w:spacing w:before="0" w:after="0"/>
              <w:jc w:val="left"/>
            </w:pPr>
            <w:r>
              <w:rPr>
                <w:color w:val="2c3e50"/>
                <w:sz w:val="21"/>
              </w:rPr>
              <w:t>Condition de détermination</w:t>
            </w:r>
          </w:p>
        </w:tc>
        <w:tc>
          <w:tcPr>
            <w:tcW w:w="2000" w:type="dxa"/>
            <w:vAlign w:val="center"/>
          </w:tcPr>
          <w:p>
            <w:pPr>
              <w:spacing w:before="0" w:after="0"/>
              <w:jc w:val="left"/>
            </w:pPr>
            <w:r>
              <w:rPr>
                <w:color w:val="2c3e50"/>
                <w:sz w:val="21"/>
              </w:rPr>
              <w:t>Condition de perception</w:t>
            </w:r>
          </w:p>
        </w:tc>
        <w:tc>
          <w:tcPr>
            <w:tcW w:w="2000" w:type="dxa"/>
            <w:vAlign w:val="center"/>
          </w:tcPr>
          <w:p>
            <w:pPr>
              <w:spacing w:before="0" w:after="0"/>
              <w:jc w:val="left"/>
            </w:pPr>
            <w:r>
              <w:rPr>
                <w:color w:val="2c3e50"/>
                <w:sz w:val="21"/>
              </w:rPr>
              <w:t>Régime propre</w:t>
            </w:r>
          </w:p>
        </w:tc>
        <w:tc>
          <w:tcPr>
            <w:tcW w:w="2000" w:type="dxa"/>
            <w:vAlign w:val="center"/>
          </w:tcPr>
          <w:p>
            <w:pPr>
              <w:spacing w:before="0" w:after="0"/>
              <w:jc w:val="left"/>
            </w:pPr>
            <w:r>
              <w:rPr>
                <w:color w:val="2c3e50"/>
                <w:sz w:val="21"/>
              </w:rPr>
              <w:t>Constitution performative</w:t>
            </w:r>
          </w:p>
        </w:tc>
      </w:tr>
      <w:tr>
        <w:trPr>
          <w:trHeight w:val="380" w:hRule="atLeast"/>
        </w:trPr>
        <w:tc>
          <w:tcPr>
            <w:tcW w:w="2000" w:type="dxa"/>
            <w:vAlign w:val="center"/>
          </w:tcPr>
          <w:p>
            <w:pPr>
              <w:spacing w:before="0" w:after="0"/>
              <w:jc w:val="left"/>
            </w:pPr>
            <w:r>
              <w:rPr>
                <w:color w:val="2c3e50"/>
                <w:sz w:val="21"/>
              </w:rPr>
              <w:t>Réserve</w:t>
            </w:r>
          </w:p>
        </w:tc>
        <w:tc>
          <w:tcPr>
            <w:tcW w:w="2000" w:type="dxa"/>
            <w:vAlign w:val="center"/>
          </w:tcPr>
          <w:p>
            <w:pPr>
              <w:spacing w:before="0" w:after="0"/>
              <w:jc w:val="left"/>
            </w:pPr>
            <w:r>
              <w:rPr>
                <w:color w:val="2c3e50"/>
                <w:sz w:val="21"/>
              </w:rPr>
              <w:t>Aspect non-actualisé</w:t>
            </w:r>
          </w:p>
        </w:tc>
        <w:tc>
          <w:tcPr>
            <w:tcW w:w="2000" w:type="dxa"/>
            <w:vAlign w:val="center"/>
          </w:tcPr>
          <w:p>
            <w:pPr>
              <w:spacing w:before="0" w:after="0"/>
              <w:jc w:val="left"/>
            </w:pPr>
            <w:r>
              <w:rPr>
                <w:color w:val="2c3e50"/>
                <w:sz w:val="21"/>
              </w:rPr>
              <w:t>Fond disponible</w:t>
            </w:r>
          </w:p>
        </w:tc>
        <w:tc>
          <w:tcPr>
            <w:tcW w:w="2000" w:type="dxa"/>
            <w:vAlign w:val="center"/>
          </w:tcPr>
          <w:p>
            <w:pPr>
              <w:spacing w:before="0" w:after="0"/>
              <w:jc w:val="left"/>
            </w:pPr>
            <w:r>
              <w:rPr>
                <w:color w:val="2c3e50"/>
                <w:sz w:val="21"/>
              </w:rPr>
              <w:t>Fantômes d'attracteurs</w:t>
            </w:r>
          </w:p>
        </w:tc>
        <w:tc>
          <w:tcPr>
            <w:tcW w:w="2000" w:type="dxa"/>
            <w:vAlign w:val="center"/>
          </w:tcPr>
          <w:p>
            <w:pPr>
              <w:spacing w:before="0" w:after="0"/>
              <w:jc w:val="left"/>
            </w:pPr>
            <w:r>
              <w:rPr>
                <w:color w:val="2c3e50"/>
                <w:sz w:val="21"/>
              </w:rPr>
              <w:t>Potentiel dans l'intra-action</w:t>
            </w:r>
          </w:p>
        </w:tc>
      </w:tr>
    </w:tbl>
    <w:p>
      <w:pPr>
        <w:ind w:firstLine="720"/>
      </w:pPr>
      <w:r>
        <w:t>Ce tableau ne prétend pas à l'exhaustivité. Il met en lumière les correspondances structurales qui nous intéressent, mais il pourrait être complété par d'autres dimensions. Son but est de rendre visible le motif commun, pas de réduire chaque domaine à une colonne.</w:t>
      </w:r>
    </w:p>
    <w:p>
      <w:pPr>
        <w:pStyle w:val="Heading2"/>
      </w:pPr>
      <w:r>
        <w:t>Ce que chaque domaine voit que les autres ne voient pas</w:t>
      </w:r>
    </w:p>
    <w:p>
      <w:pPr>
        <w:ind w:firstLine="720"/>
      </w:pPr>
      <w:r>
        <w:t>Une lecture attentive montre que chaque domaine apporte une dimension que les autres n'ont pas développée. Le motif complet n'est visible d'aucun domaine seul : c'est la lecture transversale qui le fait apparaître.</w:t>
      </w:r>
    </w:p>
    <w:p>
      <w:pPr>
        <w:ind w:firstLine="720"/>
      </w:pPr>
      <w:r>
        <w:t>Bohr voit l'exclusion mutuelle des schèmes de description. C'est lui qui a le plus clairement formulé l'idée que des descriptions complètes peuvent être mutuellement exclusives. Cette dimension est présente mais moins explicitée dans les autres domaines.</w:t>
      </w:r>
    </w:p>
    <w:p>
      <w:pPr>
        <w:ind w:firstLine="720"/>
      </w:pPr>
      <w:r>
        <w:t>La Gestalt voit la temporalité vécue et la disponibilité du fond. La dynamique figure/fond est intrinsèquement temporelle : les figures se forment, se maintiennent, se détruisent. Le fond est une réserve vivante, pas un simple ensemble de possibles logiques.</w:t>
      </w:r>
    </w:p>
    <w:p>
      <w:pPr>
        <w:ind w:firstLine="720"/>
      </w:pPr>
      <w:r>
        <w:t>Kelso voit la dynamique continue entre les tendances et fournit la formalisation mathématique. La métastabilité est un régime dynamique observable, mesurable, prédictible. Cette base empirique et formelle est unique à son approche.</w:t>
      </w:r>
    </w:p>
    <w:p>
      <w:pPr>
        <w:ind w:firstLine="720"/>
      </w:pPr>
      <w:r>
        <w:t>Barad voit la dimension performative et ontologique de la coupe. La coupe agentielle ne sélectionne pas parmi des entités préexistantes : elle les produit. Cette dimension ontologique est absente des autres domaines.</w:t>
      </w:r>
    </w:p>
    <w:p>
      <w:pPr>
        <w:ind w:firstLine="720"/>
      </w:pPr>
      <w:r>
        <w:t>Ce qui est remarquable, c'est que cette complémentarité entre les domaines est elle-même un exemple du motif qu'on décrit. Chaque discipline, par sa propre coupe, fait émerger un aspect et en laisse d'autres en retrait. La lecture transversale est une autre coupe, qui fait apparaître d'autres aspects.</w:t>
      </w:r>
    </w:p>
    <w:p>
      <w:pPr>
        <w:pStyle w:val="Heading1"/>
      </w:pPr>
      <w:bookmarkStart w:name="_Toc008" w:id="008"/>
      <w:r>
        <w:t>VIII. Objections et réponses</w:t>
      </w:r>
      <w:bookmarkEnd w:id="008"/>
    </w:p>
    <w:p>
      <w:pPr>
        <w:pStyle w:val="Heading2"/>
      </w:pPr>
      <w:r>
        <w:t>Ce qu'on peut légitimement objecter — et ce que les objections révèlent</w:t>
      </w:r>
    </w:p>
    <w:p>
      <w:pPr>
        <w:ind w:firstLine="720"/>
      </w:pPr>
      <w:r>
        <w:t>Toute entreprise transdisciplinaire suscite des objections légitimes. Il est important de les prendre au sérieux, non pas pour les réfuter mais pour les intégrer et, ce faisant, préciser la thèse. Les objections ne réfutent pas le motif : elles le précisent.</w:t>
      </w:r>
    </w:p>
    <w:p>
      <w:pPr>
        <w:pStyle w:val="Heading2"/>
      </w:pPr>
      <w:r>
        <w:t>Objection 1 : « Vous confondez analogie et identité »</w:t>
      </w:r>
    </w:p>
    <w:p>
      <w:pPr>
        <w:ind w:firstLine="720"/>
      </w:pPr>
      <w:r>
        <w:t>C'est probablement l'objection la plus fréquente. Elle consiste à dire que nous assimilons abusivement des domaines hétérogènes, confondant ressemblance partielle avec identité totale.</w:t>
      </w:r>
    </w:p>
    <w:p>
      <w:pPr>
        <w:ind w:firstLine="720"/>
      </w:pPr>
      <w:r>
        <w:t>Réponse : Ce texte ne prétend à aucun moment que la perception humaine est de la mécanique quantique, ni que la coordination motrice est une figure/fond. Le motif identifié est une correspondance de structure relationnelle, pas de mécanisme. Les mécanismes sont différents : décohérence quantique d'un côté, processus neuronaux et corporels de l'autre. Ce qui est commun, c'est la structure : la co-constitution du manifesté par l'opération qui le fait apparaître.</w:t>
      </w:r>
    </w:p>
    <w:p>
      <w:pPr>
        <w:ind w:firstLine="720"/>
      </w:pPr>
      <w:r>
        <w:t>L'analogie structurelle est un outil épistémologique avec ses propres critères de validité : la convergence indépendante (plusieurs domaines convergent vers la même structure sans s'influencer), la fécondité heuristique (l'analogie permet de poser de nouvelles questions), la capacité à générer des recherches productives. Ces critères sont différents de ceux de la déduction formelle, mais ils sont légitimes.</w:t>
      </w:r>
    </w:p>
    <w:p>
      <w:pPr>
        <w:pStyle w:val="Heading2"/>
      </w:pPr>
      <w:r>
        <w:t>Objection 2 : « Ce qui vaut en physique ne vaut pas en psychologie »</w:t>
      </w:r>
    </w:p>
    <w:p>
      <w:pPr>
        <w:ind w:firstLine="720"/>
      </w:pPr>
      <w:r>
        <w:t>Cette objection invoque la spécificité des domaines. Les lois de la physique ne s'appliquent pas directement à la psychologie. Rien ne garantit que ce qui est vrai des électrons soit vrai des émotions.</w:t>
      </w:r>
    </w:p>
    <w:p>
      <w:pPr>
        <w:ind w:firstLine="720"/>
      </w:pPr>
      <w:r>
        <w:t>Réponse : L'argument ne va pas de la physique vers la psychologie. Il va des quatre domaines vers le motif commun. Aucun domaine n'a de priorité sur les autres. Nous ne disons pas : « comme c'est vrai en physique, c'est vrai en psychologie ». Nous disons : « quatre domaines indépendants convergent vers une même structure relationnelle ».</w:t>
      </w:r>
    </w:p>
    <w:p>
      <w:pPr>
        <w:ind w:firstLine="720"/>
      </w:pPr>
      <w:r>
        <w:t>Par ailleurs, l'extension de la complémentarité au-delà de la physique est proposée par Bohr lui-même, formalisée par Kelso avec des données empiriques, et philosophiquement fondée par Barad. Ce n'est pas une extrapolation gratuite : c'est une convergence de penseurs et penseuses indépendants.</w:t>
      </w:r>
    </w:p>
    <w:p>
      <w:pPr>
        <w:pStyle w:val="Heading2"/>
      </w:pPr>
      <w:r>
        <w:t>Objection 3 : « C'est trop vague pour être falsifiable »</w:t>
      </w:r>
    </w:p>
    <w:p>
      <w:pPr>
        <w:ind w:firstLine="720"/>
      </w:pPr>
      <w:r>
        <w:t>Selon le critère de réfutabilité de Popper, une théorie scientifique doit être falsifiable : il doit exister des observations possibles qui la contrediraient. Or, le motif de la coupe constitutive semble si général qu'aucune observation ne pourrait le réfuter.</w:t>
      </w:r>
    </w:p>
    <w:p>
      <w:pPr>
        <w:ind w:firstLine="720"/>
      </w:pPr>
      <w:r>
        <w:t>Réponse : Ce texte ne propose pas une théorie au sens poppérien mais un cadre épistémologique, au même titre que la complémentarité elle-même. Un cadre se juge à sa fécondité : permet-il de poser des questions nouvelles ? Rend-il visibles des connexions qui étaient invisibles ? Génère-t-il des recherches productives ?</w:t>
      </w:r>
    </w:p>
    <w:p>
      <w:pPr>
        <w:ind w:firstLine="720"/>
      </w:pPr>
      <w:r>
        <w:t>La dynamique de coordination de Kelso montre que oui. Elle a généré des prédictions testables, des expériences reproductibles, des découvertes nouvelles. La lecture transversale que nous proposons ouvre des questions que le cloisonnement disciplinaire masque.</w:t>
      </w:r>
    </w:p>
    <w:p>
      <w:pPr>
        <w:pStyle w:val="Heading2"/>
      </w:pPr>
      <w:r>
        <w:t>Objection 4 : « C'est du Capra réchauffé »</w:t>
      </w:r>
    </w:p>
    <w:p>
      <w:pPr>
        <w:ind w:firstLine="720"/>
      </w:pPr>
      <w:r>
        <w:t>Cette objection évoque les lectures New Age de la physique quantique, qui ont souvent discrédité les rapprochements entre physique et autres domaines. Fritjof Capra, dans son célèbre livre Le Tao de la physique, cherchait des correspondances entre physique quantique et mystique orientale, suscitant de vives critiques de la part des physiciens.</w:t>
      </w:r>
    </w:p>
    <w:p>
      <w:pPr>
        <w:ind w:firstLine="720"/>
      </w:pPr>
      <w:r>
        <w:t>Réponse : Capra cherchait des correspondances de contenu : le vide quantique « est » le sunyata, l'intrication « prouve » l'interconnexion spirituelle. Le présent texte identifie des correspondances de structure entre modes d'observation. Nous ne disons pas que la Gestalt-thérapie « est » de la mécanique quantique. Nous disons que dans les deux cas, le dispositif d'observation co-constitue ce qui apparaît, et que cette co-constitution a une structure analysable.</w:t>
      </w:r>
    </w:p>
    <w:p>
      <w:pPr>
        <w:ind w:firstLine="720"/>
      </w:pPr>
      <w:r>
        <w:t>La différence est fondamentale. Les correspondances de contenu supposent une identité de sens entre des termes de domaines différents. Les correspondances de structure supposent seulement une similitude de pattern relationnel. La première est problématique car elle ignore les différences de contexte. La seconde est légitime car elle préciseément ce qu'elle compare.</w:t>
      </w:r>
    </w:p>
    <w:p>
      <w:pPr>
        <w:pStyle w:val="Heading2"/>
      </w:pPr>
      <w:r>
        <w:t>Objection 5 : « Le motif est trivial — tout le monde sait que l'observateur influence l'observé »</w:t>
      </w:r>
    </w:p>
    <w:p>
      <w:pPr>
        <w:ind w:firstLine="720"/>
      </w:pPr>
      <w:r>
        <w:t>Cette objection minimise le motif : il ne s'agirait que d'un truisme, d'une banalité que tout le monde reconnaît depuis longtemps.</w:t>
      </w:r>
    </w:p>
    <w:p>
      <w:pPr>
        <w:ind w:firstLine="720"/>
      </w:pPr>
      <w:r>
        <w:t>Réponse : La coupe constitutive est plus forte que l'influence. L'influence suppose un observateur et un observé préexistants dont l'un perturbe l'autre. La coupe constitutive dit que la séparation même entre observateur et observé est produite par le dispositif. Ce n'est pas que l'observateur perturbe l'observé : c'est que l'observateur et l'observé sont co-produits par la coupure qui les sépare.</w:t>
      </w:r>
    </w:p>
    <w:p>
      <w:pPr>
        <w:ind w:firstLine="720"/>
      </w:pPr>
      <w:r>
        <w:t>Cette distinction est essentielle et elle n'est justement pas triviale. Elle est régulièrement manquée, y compris dans la littérature spécialisée. Même des physiciens chevronnés confondent le principe d'incertitude de Heisenberg (perturbation) avec la complémentarité de Bohr (constitution). La différence entre perturber une réalité préexistante et co-constituer cette réalité est fondamentale.</w:t>
      </w:r>
    </w:p>
    <w:p>
      <w:pPr>
        <w:pStyle w:val="Heading1"/>
      </w:pPr>
      <w:bookmarkStart w:name="_Toc009" w:id="009"/>
      <w:r>
        <w:t>IX. Ce que la lecture transversale rend visible</w:t>
      </w:r>
      <w:bookmarkEnd w:id="009"/>
    </w:p>
    <w:p>
      <w:pPr>
        <w:pStyle w:val="Heading2"/>
      </w:pPr>
      <w:r>
        <w:t>Les gradients, la porosité, l'enchevêtrement</w:t>
      </w:r>
    </w:p>
    <w:p>
      <w:pPr>
        <w:ind w:firstLine="720"/>
      </w:pPr>
      <w:r>
        <w:t>Au-delà de l'identification du motif commun, la lecture transversale proposée ici fait apparaître trois dimensions qui ne sont pleinement visibles d'aucun domaine seul : (a) le caractère graduel des coupes, (b) la porosité variable de la coupe elle-même, et (c) l'enchevêtrement de coupes multiples simultanées.</w:t>
      </w:r>
    </w:p>
    <w:p>
      <w:pPr>
        <w:pStyle w:val="Heading2"/>
      </w:pPr>
      <w:r>
        <w:t>(a) Les gradients de complémentarité</w:t>
      </w:r>
    </w:p>
    <w:p>
      <w:pPr>
        <w:ind w:firstLine="720"/>
      </w:pPr>
      <w:r>
        <w:t>Chez Bohr, la complémentarité semble souvent binaire : onde ou particule. Mais le principe d'incertitude de Heisenberg montre déjà un compromis continu : Δx·Δp ≥ ħ/2. Cette inégalité signifie qu'on peut concevoir des mesures intermédiaires, où ni la position ni l'impulsion ne sont parfaitement définies, mais où les deux ont un certain degré de définition.</w:t>
      </w:r>
    </w:p>
    <w:p>
      <w:pPr>
        <w:ind w:firstLine="720"/>
      </w:pPr>
      <w:r>
        <w:t>En Gestalt, la figure n'efface pas le fond : les autres éléments restent présents à différents degrés de saillance. Il y a des figures nettes et des figures floues, des figures dominantes et des figures périphériques. La saillance n'est pas binaire : c'est un gradient.</w:t>
      </w:r>
    </w:p>
    <w:p>
      <w:pPr>
        <w:ind w:firstLine="720"/>
      </w:pPr>
      <w:r>
        <w:t>Chez Kelso, le régime métastable est précisément un entre-deux dynamique, pas un état discret. Le système explore un continuum de possibles, sans jamais se fixer définitivement dans un attracteur.</w:t>
      </w:r>
    </w:p>
    <w:p>
      <w:pPr>
        <w:ind w:firstLine="720"/>
      </w:pPr>
      <w:r>
        <w:t>Proposition : la complémentarité n'est pas un basculement entre deux pôles mais une distribution sur un gradient, et la position sur ce gradient est elle-même constituée par le dispositif. Il n'y a pas simplement « complémentarité ou pas complémentarité » : il y a des degrés de complémentarité, des intensités de séparation, des nuances de coupure.</w:t>
      </w:r>
    </w:p>
    <w:p>
      <w:pPr>
        <w:pStyle w:val="Heading2"/>
      </w:pPr>
      <w:r>
        <w:t>(b) La porosité de la coupe</w:t>
      </w:r>
    </w:p>
    <w:p>
      <w:pPr>
        <w:ind w:firstLine="720"/>
      </w:pPr>
      <w:r>
        <w:t>Chez Barad, la coupe agentielle produit une séparation déterminée. Mais toute coupe a un degré de rigidité. Certaines coupes sont très rigides : elles isolent presque totalement les termes qu'elles séparent. D'autres sont poreuses : elles maintiennent une relation forte entre les termes séparés.</w:t>
      </w:r>
    </w:p>
    <w:p>
      <w:pPr>
        <w:ind w:firstLine="720"/>
      </w:pPr>
      <w:r>
        <w:t>Une coupe rigide isole presque totalement les termes (ratio 95/5). C'est le cas des catégories diagnostiques en psychiatrie quand elles sont prises comme absolues, des frontières disciplinaires en académie quand elles interdisent toute communication, des polarisations idéologiques quand elles rendent impensable toute position intermédiaire.</w:t>
      </w:r>
    </w:p>
    <w:p>
      <w:pPr>
        <w:ind w:firstLine="720"/>
      </w:pPr>
      <w:r>
        <w:t>Une coupe poreuse maintient une relation forte entre les termes séparés (ratio proche de 50/50). C'est le cas de la respiration (inspiration/expiration comme continuum), de la perception flottante en méditation, des états de conscience contemplatifs où la séparation sujet/objet s'atténue.</w:t>
      </w:r>
    </w:p>
    <w:p>
      <w:pPr>
        <w:ind w:firstLine="720"/>
      </w:pPr>
      <w:r>
        <w:t>La rigidification d'une coupe est elle-même un processus performatif, souvent invisible à celles et ceux qui l'opèrent. On croit que les catégories sont données, alors qu'elles sont produites. On pense que les frontières sont naturelles, alors qu'elles sont historiques. Rendre les coupes visibles, c'est déjà les assouplir.</w:t>
      </w:r>
    </w:p>
    <w:p>
      <w:pPr>
        <w:ind w:firstLine="720"/>
      </w:pPr>
      <w:r>
        <w:t>Cette dimension de la porosité n'est pas développée par Barad, mais elle est présente dans les autres domaines. La Gestalt parle de figures périphériques et de figures centrales. Kelso décrit des degrés de métastabilité. La lecture transversale permet de la formuler explicitement.</w:t>
      </w:r>
    </w:p>
    <w:p>
      <w:pPr>
        <w:pStyle w:val="Heading2"/>
      </w:pPr>
      <w:r>
        <w:t>(c) L'enchevêtrement des coupes</w:t>
      </w:r>
    </w:p>
    <w:p>
      <w:pPr>
        <w:ind w:firstLine="720"/>
      </w:pPr>
      <w:r>
        <w:t>L'expérience vécue ne se réduit jamais à une seule coupe sur un seul gradient. À chaque instant, de multiples micro-coupes opèrent simultanément : attention/inattention, intérêt/désintérêt, familiarité/étrangeté, confort/inconfort, plaisir/déplaisir, etc.</w:t>
      </w:r>
    </w:p>
    <w:p>
      <w:pPr>
        <w:ind w:firstLine="720"/>
      </w:pPr>
      <w:r>
        <w:t>Ces coupes sont enchevêtrées : le degré d'attention modifie ce qui émerge comme figure, ce qui modifie l'état émotionnel, ce qui modifie le degré d'attention. Les coupes ne sont pas indépendantes : elles s'influencent mutuellement.</w:t>
      </w:r>
    </w:p>
    <w:p>
      <w:pPr>
        <w:ind w:firstLine="720"/>
      </w:pPr>
      <w:r>
        <w:t>La « coupe globale » — ce qui détermine comment le monde apparaît à un instant donné — est une émergence statistique de l'ensemble de ces micro-coupes. Elle n'est pas déterminée par une seule coupe maîtresse, mais résulte de leur enchevêtrement.</w:t>
      </w:r>
    </w:p>
    <w:p>
      <w:pPr>
        <w:ind w:firstLine="720"/>
      </w:pPr>
      <w:r>
        <w:t>Cette structure rappelle la non-commutativité en mécanique quantique : la mesure d'un observable modifie l'état du système pour d'autres observables. Elle rappelle aussi la description de Kelso : multiples paires complémentaires coexistent dans le régime métastable du cerveau.</w:t>
      </w:r>
    </w:p>
    <w:p>
      <w:pPr>
        <w:ind w:firstLine="720"/>
      </w:pPr>
      <w:r>
        <w:t>La lecture transversale permet de formuler explicitement cette dimension de l'enchevêtrement, qui est présente mais peu théorisée dans les domaines pris séparément.</w:t>
      </w:r>
    </w:p>
    <w:p>
      <w:pPr>
        <w:pStyle w:val="Heading1"/>
      </w:pPr>
      <w:bookmarkStart w:name="_Toc010" w:id="010"/>
      <w:r>
        <w:t>X. Conclusion</w:t>
      </w:r>
      <w:bookmarkEnd w:id="010"/>
    </w:p>
    <w:p>
      <w:pPr>
        <w:pStyle w:val="Heading2"/>
      </w:pPr>
      <w:r>
        <w:t>La question qui reste</w:t>
      </w:r>
    </w:p>
    <w:p>
      <w:pPr>
        <w:ind w:firstLine="720"/>
      </w:pPr>
      <w:r>
        <w:t>Le motif de la coupe constitutive ne fournit pas de réponse définitive. Il fournit une question mieux formulée : si la co-constitution du phénomène par l'observation se retrouve à des échelles et dans des domaines aussi différents que la physique subatomique, la perception humaine, la coordination neuronale et l'ontologie relationnelle, est-ce parce que c'est un trait fondamental de ce que signifie observer — c'est-à-dire de ce que signifie être en relation avec le monde depuis un point de vue situé ?</w:t>
      </w:r>
    </w:p>
    <w:p>
      <w:pPr>
        <w:pStyle w:val="Heading2"/>
      </w:pPr>
      <w:r>
        <w:t>Récapitulation sobre</w:t>
      </w:r>
    </w:p>
    <w:p>
      <w:pPr>
        <w:ind w:firstLine="720"/>
      </w:pPr>
      <w:r>
        <w:t>Ce que ce texte a montré : quatre domaines indépendants convergent vers une même structure relationnelle, le motif de la coupe constitutive. Cette convergence n'est pas fortuite : elle résulte de l'analyse rigoureuse de chaque domaine dans ses propres termes.</w:t>
      </w:r>
    </w:p>
    <w:p>
      <w:pPr>
        <w:ind w:firstLine="720"/>
      </w:pPr>
      <w:r>
        <w:t>Ce que ce texte n'a pas démontré : une identité entre les domaines, une réduction de l'un à l'autre, une théorie du tout qui unifierait ces disciplines. Le motif n'est pas une loi universelle : c'est une structure relationnelle qui se manifeste différemment selon les échelles et les matérialités.</w:t>
      </w:r>
    </w:p>
    <w:p>
      <w:pPr>
        <w:pStyle w:val="Heading2"/>
      </w:pPr>
      <w:r>
        <w:t>Le motif comme invitation</w:t>
      </w:r>
    </w:p>
    <w:p>
      <w:pPr>
        <w:ind w:firstLine="720"/>
      </w:pPr>
      <w:r>
        <w:t>La lecture transversale ne clôt pas l'enquête : elle l'ouvre. Chaque domaine peut être revisité à la lumière du motif commun, et des questions nouvelles apparaissent.</w:t>
      </w:r>
    </w:p>
    <w:p>
      <w:pPr>
        <w:ind w:firstLine="720"/>
      </w:pPr>
      <w:r>
        <w:t>Pour la physique : comment penser les degrés de complémentarité ? Le principe d'incertitude suggère un gradient, mais sa signification ontologique reste à explorer.</w:t>
      </w:r>
    </w:p>
    <w:p>
      <w:pPr>
        <w:ind w:firstLine="720"/>
      </w:pPr>
      <w:r>
        <w:t>Pour la psychothérapie : comment travailler sur la porosité des coupes ? La thérapie pourrait être comprise comme un travail sur la rigidification des coupes qui maintiennent des souffrances.</w:t>
      </w:r>
    </w:p>
    <w:p>
      <w:pPr>
        <w:ind w:firstLine="720"/>
      </w:pPr>
      <w:r>
        <w:t>Pour les neurosciences : comment formaliser l'enchevêtrement de multiples paires complémentaires ? La dynamique de coordination traite principalement des paires discrètes, mais le cerveau réel implique des enchevêtrements complexes.</w:t>
      </w:r>
    </w:p>
    <w:p>
      <w:pPr>
        <w:ind w:firstLine="720"/>
      </w:pPr>
      <w:r>
        <w:t>Pour la philosophie : comment développer une éthique des coupes ? Barad a ouvert cette voie, mais il reste beaucoup à faire pour penser la responsabilité impliquée dans chaque opération de coupure.</w:t>
      </w:r>
    </w:p>
    <w:p>
      <w:pPr>
        <w:pStyle w:val="Heading2"/>
      </w:pPr>
      <w:r>
        <w:t>Ouvertures</w:t>
      </w:r>
    </w:p>
    <w:p>
      <w:pPr>
        <w:ind w:firstLine="720"/>
      </w:pPr>
      <w:r>
        <w:t>Au-delà de ces prolongements disciplinaires, le motif de la coupe constitutive suggère des implications cliniques, pédagogiques et politiques.</w:t>
      </w:r>
    </w:p>
    <w:p>
      <w:pPr>
        <w:ind w:firstLine="720"/>
      </w:pPr>
      <w:r>
        <w:t>Implications cliniques : la thérapie comme travail sur la porosité des coupes. Beaucoup de souffrances psychiques impliquent des coupes trop rigides (pensées obsessionnelles, schémas figés) ou trop poreuses (perte de limites, confusion des identités). Le travail thérapeutique pourrait être compris comme un travail sur la flexibilité des coupes.</w:t>
      </w:r>
    </w:p>
    <w:p>
      <w:pPr>
        <w:ind w:firstLine="720"/>
      </w:pPr>
      <w:r>
        <w:t>Implications pédagogiques : enseigner à voir les coupes qu'on opère. Une éducation à la pensée critique pourrait inclure l'apprentissage à identifier les coupes implicites dans les discours, les catégorisations qui passent pour naturelles, les exclusions qui résultent de nos manières de couper.</w:t>
      </w:r>
    </w:p>
    <w:p>
      <w:pPr>
        <w:ind w:firstLine="720"/>
      </w:pPr>
      <w:r>
        <w:t>Implications politiques : les coupes rigides comme mécanisme de domination. Les frontières tracées entre « nous » et « eux », entre « normal » et « anormal », entre « civilisé » et « primitif » sont des coupes performatives qui produisent les réalités qu'elles prétendent simplement décrire. Rendre ces coupes visibles, c'est déjà les déstabiliser.</w:t>
      </w:r>
    </w:p>
    <w:p>
      <w:pPr>
        <w:pStyle w:val="Heading2"/>
      </w:pPr>
      <w:r>
        <w:t>Dernière phrase</w:t>
      </w:r>
    </w:p>
    <w:p>
      <w:pPr>
        <w:ind w:firstLine="720"/>
      </w:pPr>
      <w:r>
        <w:t>Ce texte ne prouve pas le motif. Il le montre. Et montrer, comme Bohr et la Gestalt l'enseignent à leur manière, c'est déjà un acte constitutif.</w:t>
      </w:r>
    </w:p>
    <w:p>
      <w:pPr>
        <w:pStyle w:val="Heading1"/>
      </w:pPr>
      <w:bookmarkStart w:name="_Toc011" w:id="011"/>
      <w:r>
        <w:t>Annexes</w:t>
      </w:r>
      <w:bookmarkEnd w:id="011"/>
    </w:p>
    <w:p>
      <w:pPr>
        <w:pStyle w:val="Heading2"/>
      </w:pPr>
      <w:r>
        <w:t>A. Tableau synoptique des quatre domaines</w:t>
      </w:r>
    </w:p>
    <w:p>
      <w:pPr>
        <w:ind w:firstLine="720"/>
      </w:pPr>
      <w:r>
        <w:t>Ce tableau présente une vue d'ensemble systématique des quatre domaines selon les traits du motif, les vocabulaires propres, et les limites de chaque approche.</w:t>
      </w:r>
    </w:p>
    <w:tbl>
      <w:tblPr>
        <w:tblW w:w="5000" w:type="pct"/>
        <w:tblBorders>
          <w:top w:val="single" w:color="1e3a5f" w:sz="12"/>
          <w:left w:val="nil"/>
          <w:bottom w:val="single" w:color="1e3a5f" w:sz="12"/>
          <w:right w:val="nil"/>
          <w:insideH w:val="single" w:color="d1d5db" w:sz="4"/>
          <w:insideV w:val="nil"/>
        </w:tblBorders>
        <w:tblCellMar>
          <w:top w:w="100" w:type="dxa"/>
          <w:left w:w="150" w:type="dxa"/>
          <w:bottom w:w="100" w:type="dxa"/>
          <w:right w:w="150" w:type="dxa"/>
        </w:tblCellMar>
      </w:tblPr>
      <w:tblGrid>
        <w:gridCol w:w="2500"/>
        <w:gridCol w:w="2500"/>
        <w:gridCol w:w="2500"/>
        <w:gridCol w:w="2500"/>
      </w:tblGrid>
      <w:tr>
        <w:trPr>
          <w:tblHeader/>
          <w:trHeight w:val="400" w:hRule="atLeast"/>
        </w:trPr>
        <w:tc>
          <w:tcPr>
            <w:tcW w:w="2500" w:type="dxa"/>
            <w:tcBorders>
              <w:bottom w:val="single" w:color="1e3a5f" w:sz="6"/>
            </w:tcBorders>
            <w:shd w:val="clear" w:fill="f7f8fa"/>
            <w:vAlign w:val="center"/>
          </w:tcPr>
          <w:p>
            <w:pPr>
              <w:spacing w:before="0" w:after="0"/>
              <w:jc w:val="center"/>
            </w:pPr>
            <w:r>
              <w:rPr>
                <w:b/>
                <w:color w:val="2c3e50"/>
                <w:sz w:val="22"/>
              </w:rPr>
              <w:t>Domaine</w:t>
            </w:r>
          </w:p>
        </w:tc>
        <w:tc>
          <w:tcPr>
            <w:tcW w:w="2500" w:type="dxa"/>
            <w:tcBorders>
              <w:bottom w:val="single" w:color="1e3a5f" w:sz="6"/>
            </w:tcBorders>
            <w:shd w:val="clear" w:fill="f7f8fa"/>
            <w:vAlign w:val="center"/>
          </w:tcPr>
          <w:p>
            <w:pPr>
              <w:spacing w:before="0" w:after="0"/>
              <w:jc w:val="center"/>
            </w:pPr>
            <w:r>
              <w:rPr>
                <w:b/>
                <w:color w:val="2c3e50"/>
                <w:sz w:val="22"/>
              </w:rPr>
              <w:t>Concept-clé</w:t>
            </w:r>
          </w:p>
        </w:tc>
        <w:tc>
          <w:tcPr>
            <w:tcW w:w="2500" w:type="dxa"/>
            <w:tcBorders>
              <w:bottom w:val="single" w:color="1e3a5f" w:sz="6"/>
            </w:tcBorders>
            <w:shd w:val="clear" w:fill="f7f8fa"/>
            <w:vAlign w:val="center"/>
          </w:tcPr>
          <w:p>
            <w:pPr>
              <w:spacing w:before="0" w:after="0"/>
              <w:jc w:val="center"/>
            </w:pPr>
            <w:r>
              <w:rPr>
                <w:b/>
                <w:color w:val="2c3e50"/>
                <w:sz w:val="22"/>
              </w:rPr>
              <w:t>Unité d'analyse</w:t>
            </w:r>
          </w:p>
        </w:tc>
        <w:tc>
          <w:tcPr>
            <w:tcW w:w="2500" w:type="dxa"/>
            <w:tcBorders>
              <w:bottom w:val="single" w:color="1e3a5f" w:sz="6"/>
            </w:tcBorders>
            <w:shd w:val="clear" w:fill="f7f8fa"/>
            <w:vAlign w:val="center"/>
          </w:tcPr>
          <w:p>
            <w:pPr>
              <w:spacing w:before="0" w:after="0"/>
              <w:jc w:val="center"/>
            </w:pPr>
            <w:r>
              <w:rPr>
                <w:b/>
                <w:color w:val="2c3e50"/>
                <w:sz w:val="22"/>
              </w:rPr>
              <w:t>Limite</w:t>
            </w:r>
          </w:p>
        </w:tc>
      </w:tr>
      <w:tr>
        <w:trPr>
          <w:trHeight w:val="380" w:hRule="atLeast"/>
        </w:trPr>
        <w:tc>
          <w:tcPr>
            <w:tcW w:w="2500" w:type="dxa"/>
            <w:vAlign w:val="center"/>
          </w:tcPr>
          <w:p>
            <w:pPr>
              <w:spacing w:before="0" w:after="0"/>
              <w:jc w:val="left"/>
            </w:pPr>
            <w:r>
              <w:rPr>
                <w:color w:val="2c3e50"/>
                <w:sz w:val="21"/>
              </w:rPr>
              <w:t>Physique (Bohr)</w:t>
            </w:r>
          </w:p>
        </w:tc>
        <w:tc>
          <w:tcPr>
            <w:tcW w:w="2500" w:type="dxa"/>
            <w:vAlign w:val="center"/>
          </w:tcPr>
          <w:p>
            <w:pPr>
              <w:spacing w:before="0" w:after="0"/>
              <w:jc w:val="left"/>
            </w:pPr>
            <w:r>
              <w:rPr>
                <w:color w:val="2c3e50"/>
                <w:sz w:val="21"/>
              </w:rPr>
              <w:t>Complémentarité</w:t>
            </w:r>
          </w:p>
        </w:tc>
        <w:tc>
          <w:tcPr>
            <w:tcW w:w="2500" w:type="dxa"/>
            <w:vAlign w:val="center"/>
          </w:tcPr>
          <w:p>
            <w:pPr>
              <w:spacing w:before="0" w:after="0"/>
              <w:jc w:val="left"/>
            </w:pPr>
            <w:r>
              <w:rPr>
                <w:color w:val="2c3e50"/>
                <w:sz w:val="21"/>
              </w:rPr>
              <w:t>Phénomène</w:t>
            </w:r>
          </w:p>
        </w:tc>
        <w:tc>
          <w:tcPr>
            <w:tcW w:w="2500" w:type="dxa"/>
            <w:vAlign w:val="center"/>
          </w:tcPr>
          <w:p>
            <w:pPr>
              <w:spacing w:before="0" w:after="0"/>
              <w:jc w:val="left"/>
            </w:pPr>
            <w:r>
              <w:rPr>
                <w:color w:val="2c3e50"/>
                <w:sz w:val="21"/>
              </w:rPr>
              <w:t>Pas d'explication de l'extensibilité</w:t>
            </w:r>
          </w:p>
        </w:tc>
      </w:tr>
      <w:tr>
        <w:trPr>
          <w:trHeight w:val="380" w:hRule="atLeast"/>
        </w:trPr>
        <w:tc>
          <w:tcPr>
            <w:tcW w:w="2500" w:type="dxa"/>
            <w:vAlign w:val="center"/>
          </w:tcPr>
          <w:p>
            <w:pPr>
              <w:spacing w:before="0" w:after="0"/>
              <w:jc w:val="left"/>
            </w:pPr>
            <w:r>
              <w:rPr>
                <w:color w:val="2c3e50"/>
                <w:sz w:val="21"/>
              </w:rPr>
              <w:t>Psychothérapie (Gestalt)</w:t>
            </w:r>
          </w:p>
        </w:tc>
        <w:tc>
          <w:tcPr>
            <w:tcW w:w="2500" w:type="dxa"/>
            <w:vAlign w:val="center"/>
          </w:tcPr>
          <w:p>
            <w:pPr>
              <w:spacing w:before="0" w:after="0"/>
              <w:jc w:val="left"/>
            </w:pPr>
            <w:r>
              <w:rPr>
                <w:color w:val="2c3e50"/>
                <w:sz w:val="21"/>
              </w:rPr>
              <w:t>Figure/fond</w:t>
            </w:r>
          </w:p>
        </w:tc>
        <w:tc>
          <w:tcPr>
            <w:tcW w:w="2500" w:type="dxa"/>
            <w:vAlign w:val="center"/>
          </w:tcPr>
          <w:p>
            <w:pPr>
              <w:spacing w:before="0" w:after="0"/>
              <w:jc w:val="left"/>
            </w:pPr>
            <w:r>
              <w:rPr>
                <w:color w:val="2c3e50"/>
                <w:sz w:val="21"/>
              </w:rPr>
              <w:t>Champ organisme-environnement</w:t>
            </w:r>
          </w:p>
        </w:tc>
        <w:tc>
          <w:tcPr>
            <w:tcW w:w="2500" w:type="dxa"/>
            <w:vAlign w:val="center"/>
          </w:tcPr>
          <w:p>
            <w:pPr>
              <w:spacing w:before="0" w:after="0"/>
              <w:jc w:val="left"/>
            </w:pPr>
            <w:r>
              <w:rPr>
                <w:color w:val="2c3e50"/>
                <w:sz w:val="21"/>
              </w:rPr>
              <w:t>Manque de formalisation</w:t>
            </w:r>
          </w:p>
        </w:tc>
      </w:tr>
      <w:tr>
        <w:trPr>
          <w:trHeight w:val="380" w:hRule="atLeast"/>
        </w:trPr>
        <w:tc>
          <w:tcPr>
            <w:tcW w:w="2500" w:type="dxa"/>
            <w:vAlign w:val="center"/>
          </w:tcPr>
          <w:p>
            <w:pPr>
              <w:spacing w:before="0" w:after="0"/>
              <w:jc w:val="left"/>
            </w:pPr>
            <w:r>
              <w:rPr>
                <w:color w:val="2c3e50"/>
                <w:sz w:val="21"/>
              </w:rPr>
              <w:t>Neurosciences (Kelso)</w:t>
            </w:r>
          </w:p>
        </w:tc>
        <w:tc>
          <w:tcPr>
            <w:tcW w:w="2500" w:type="dxa"/>
            <w:vAlign w:val="center"/>
          </w:tcPr>
          <w:p>
            <w:pPr>
              <w:spacing w:before="0" w:after="0"/>
              <w:jc w:val="left"/>
            </w:pPr>
            <w:r>
              <w:rPr>
                <w:color w:val="2c3e50"/>
                <w:sz w:val="21"/>
              </w:rPr>
              <w:t>Métastabilité</w:t>
            </w:r>
          </w:p>
        </w:tc>
        <w:tc>
          <w:tcPr>
            <w:tcW w:w="2500" w:type="dxa"/>
            <w:vAlign w:val="center"/>
          </w:tcPr>
          <w:p>
            <w:pPr>
              <w:spacing w:before="0" w:after="0"/>
              <w:jc w:val="left"/>
            </w:pPr>
            <w:r>
              <w:rPr>
                <w:color w:val="2c3e50"/>
                <w:sz w:val="21"/>
              </w:rPr>
              <w:t>Dynamique de coordination</w:t>
            </w:r>
          </w:p>
        </w:tc>
        <w:tc>
          <w:tcPr>
            <w:tcW w:w="2500" w:type="dxa"/>
            <w:vAlign w:val="center"/>
          </w:tcPr>
          <w:p>
            <w:pPr>
              <w:spacing w:before="0" w:after="0"/>
              <w:jc w:val="left"/>
            </w:pPr>
            <w:r>
              <w:rPr>
                <w:color w:val="2c3e50"/>
                <w:sz w:val="21"/>
              </w:rPr>
              <w:t>Paires traitées séparément</w:t>
            </w:r>
          </w:p>
        </w:tc>
      </w:tr>
      <w:tr>
        <w:trPr>
          <w:trHeight w:val="380" w:hRule="atLeast"/>
        </w:trPr>
        <w:tc>
          <w:tcPr>
            <w:tcW w:w="2500" w:type="dxa"/>
            <w:vAlign w:val="center"/>
          </w:tcPr>
          <w:p>
            <w:pPr>
              <w:spacing w:before="0" w:after="0"/>
              <w:jc w:val="left"/>
            </w:pPr>
            <w:r>
              <w:rPr>
                <w:color w:val="2c3e50"/>
                <w:sz w:val="21"/>
              </w:rPr>
              <w:t>Philosophie (Barad)</w:t>
            </w:r>
          </w:p>
        </w:tc>
        <w:tc>
          <w:tcPr>
            <w:tcW w:w="2500" w:type="dxa"/>
            <w:vAlign w:val="center"/>
          </w:tcPr>
          <w:p>
            <w:pPr>
              <w:spacing w:before="0" w:after="0"/>
              <w:jc w:val="left"/>
            </w:pPr>
            <w:r>
              <w:rPr>
                <w:color w:val="2c3e50"/>
                <w:sz w:val="21"/>
              </w:rPr>
              <w:t>Coupe agentielle</w:t>
            </w:r>
          </w:p>
        </w:tc>
        <w:tc>
          <w:tcPr>
            <w:tcW w:w="2500" w:type="dxa"/>
            <w:vAlign w:val="center"/>
          </w:tcPr>
          <w:p>
            <w:pPr>
              <w:spacing w:before="0" w:after="0"/>
              <w:jc w:val="left"/>
            </w:pPr>
            <w:r>
              <w:rPr>
                <w:color w:val="2c3e50"/>
                <w:sz w:val="21"/>
              </w:rPr>
              <w:t>Intra-action</w:t>
            </w:r>
          </w:p>
        </w:tc>
        <w:tc>
          <w:tcPr>
            <w:tcW w:w="2500" w:type="dxa"/>
            <w:vAlign w:val="center"/>
          </w:tcPr>
          <w:p>
            <w:pPr>
              <w:spacing w:before="0" w:after="0"/>
              <w:jc w:val="left"/>
            </w:pPr>
            <w:r>
              <w:rPr>
                <w:color w:val="2c3e50"/>
                <w:sz w:val="21"/>
              </w:rPr>
              <w:t>Binarité de la coupe</w:t>
            </w:r>
          </w:p>
        </w:tc>
      </w:tr>
    </w:tbl>
    <w:p>
      <w:pPr>
        <w:pStyle w:val="Heading2"/>
      </w:pPr>
      <w:r>
        <w:t>B. Références bibliographiques</w:t>
      </w:r>
    </w:p>
    <w:p>
      <w:pPr>
        <w:pStyle w:val="Heading3"/>
      </w:pPr>
      <w:r>
        <w:t>Physique quantique / complémentarité</w:t>
      </w:r>
    </w:p>
    <w:p>
      <w:pPr>
        <w:ind w:firstLine="720"/>
      </w:pPr>
      <w:r>
        <w:t>Bohr, N. (1928). The Quantum Postulate and the Recent Development of Atomic Theory. Nature, 121, 580-590.</w:t>
      </w:r>
    </w:p>
    <w:p>
      <w:pPr>
        <w:ind w:firstLine="720"/>
      </w:pPr>
      <w:r>
        <w:t>Bohr, N. (1933). Light and Life. Nature, 131, 421-423, 457-459.</w:t>
      </w:r>
    </w:p>
    <w:p>
      <w:pPr>
        <w:ind w:firstLine="720"/>
      </w:pPr>
      <w:r>
        <w:t>Bohr, N. (1958). Atomic Physics and Human Knowledge. New York: Wiley.</w:t>
      </w:r>
    </w:p>
    <w:p>
      <w:pPr>
        <w:ind w:firstLine="720"/>
      </w:pPr>
      <w:r>
        <w:t>Bala, P. (2017). Complementarity and the Quantum. In The Oxford Handbook of the History of Quantum Interpretations.</w:t>
      </w:r>
    </w:p>
    <w:p>
      <w:pPr>
        <w:ind w:firstLine="720"/>
      </w:pPr>
      <w:r>
        <w:t>Bitbol, M., &amp; Osnaghi, S. (2024). Bohr's Complementarity: A Reappraisal. Studies in History and Philosophy of Science.</w:t>
      </w:r>
    </w:p>
    <w:p>
      <w:pPr>
        <w:ind w:firstLine="720"/>
      </w:pPr>
      <w:r>
        <w:t>Plotnitsky, A. (2012). Niels Bohr and Complementarity: An Introduction. New York: Springer.</w:t>
      </w:r>
    </w:p>
    <w:p>
      <w:pPr>
        <w:pStyle w:val="Heading3"/>
      </w:pPr>
      <w:r>
        <w:t>Gestalt-thérapie</w:t>
      </w:r>
    </w:p>
    <w:p>
      <w:pPr>
        <w:ind w:firstLine="720"/>
      </w:pPr>
      <w:r>
        <w:t>Perls, F., Hefferline, R., &amp; Goodman, P. (1951). Gestalt Therapy: Excitement and Growth in the Human Personality. New York: Julian Press.</w:t>
      </w:r>
    </w:p>
    <w:p>
      <w:pPr>
        <w:ind w:firstLine="720"/>
      </w:pPr>
      <w:r>
        <w:t>Robine, J.-M. (2004). Le contact et la régulation à la lumière de la Gestalt-thérapie. Bordeaux: Institut de Gestalt.</w:t>
      </w:r>
    </w:p>
    <w:p>
      <w:pPr>
        <w:ind w:firstLine="720"/>
      </w:pPr>
      <w:r>
        <w:t>Goodman, P. (1979). The Ways of the Will. New York: Free Life Editions.</w:t>
      </w:r>
    </w:p>
    <w:p>
      <w:pPr>
        <w:pStyle w:val="Heading3"/>
      </w:pPr>
      <w:r>
        <w:t>Dynamique de coordination</w:t>
      </w:r>
    </w:p>
    <w:p>
      <w:pPr>
        <w:ind w:firstLine="720"/>
      </w:pPr>
      <w:r>
        <w:t>Kelso, J.A.S. (1995). Dynamic Patterns: The Self-Organization of Brain and Behavior. Cambridge, MA: MIT Press.</w:t>
      </w:r>
    </w:p>
    <w:p>
      <w:pPr>
        <w:ind w:firstLine="720"/>
      </w:pPr>
      <w:r>
        <w:t>Kelso, J.A.S. (2002). The Complementary Nature of Coordination Dynamics. Behavioral and Brain Sciences, 25(3), 427-428.</w:t>
      </w:r>
    </w:p>
    <w:p>
      <w:pPr>
        <w:ind w:firstLine="720"/>
      </w:pPr>
      <w:r>
        <w:t>Kelso, J.A.S. (2012). Multistability and Metastability. Scholarpedia, 7(10), 1768.</w:t>
      </w:r>
    </w:p>
    <w:p>
      <w:pPr>
        <w:ind w:firstLine="720"/>
      </w:pPr>
      <w:r>
        <w:t>Kelso, J.A.S., &amp; Engstrøm, D. (2006). The Complementary Nature. Cambridge, MA: MIT Press.</w:t>
      </w:r>
    </w:p>
    <w:p>
      <w:pPr>
        <w:ind w:firstLine="720"/>
      </w:pPr>
      <w:r>
        <w:t>Tognoli, E., &amp; Kelso, J.A.S. (2014). The Metastable Brain. Neuron, 81(1), 35-48.</w:t>
      </w:r>
    </w:p>
    <w:p>
      <w:pPr>
        <w:pStyle w:val="Heading3"/>
      </w:pPr>
      <w:r>
        <w:t>Réalisme agentiel</w:t>
      </w:r>
    </w:p>
    <w:p>
      <w:pPr>
        <w:ind w:firstLine="720"/>
      </w:pPr>
      <w:r>
        <w:t>Barad, K. (2007). Meeting the Universe Halfway: Quantum Physics and the Entanglement of Matter and Meaning. Durham: Duke University Press.</w:t>
      </w:r>
    </w:p>
    <w:p>
      <w:pPr>
        <w:ind w:firstLine="720"/>
      </w:pPr>
      <w:r>
        <w:t>Barad, K. (2010). Quantum Entanglements and Hauntological Relations of Inheritance. Derrida Today, 3(2), 240-268.</w:t>
      </w:r>
    </w:p>
    <w:p>
      <w:pPr>
        <w:ind w:firstLine="720"/>
      </w:pPr>
      <w:r>
        <w:t>Barad, K. (2024). Agential Realism and the Ethics of Knowing. Frontiers in Psychology, 15.</w:t>
      </w:r>
    </w:p>
    <w:p>
      <w:pPr>
        <w:pStyle w:val="Heading3"/>
      </w:pPr>
      <w:r>
        <w:t>Cognition quantique</w:t>
      </w:r>
    </w:p>
    <w:p>
      <w:pPr>
        <w:ind w:firstLine="720"/>
      </w:pPr>
      <w:r>
        <w:t>Busemeyer, J.R., &amp; Bruza, P.D. (2012). Quantum Models of Cognition and Decision. Cambridge University Press.</w:t>
      </w:r>
    </w:p>
    <w:p>
      <w:pPr>
        <w:ind w:firstLine="720"/>
      </w:pPr>
      <w:r>
        <w:t>Pothos, E.M., &amp; Busemeyer, J.R. (2013). Can Quantum Probability Provide a New Direction for Cognitive Modeling? Behavioral and Brain Sciences, 36(3), 255-274.</w:t>
      </w:r>
    </w:p>
    <w:p>
      <w:pPr>
        <w:ind w:firstLine="720"/>
      </w:pPr>
      <w:r>
        <w:t>Wang, Z., Busemeyer, J.R., Atmanspacher, H., &amp; Pothos, E.M. (2013). The Potential of Using Quantum Theory to Build Models of Cognition. Topics in Cognitive Science, 5(4), 672-688.</w:t>
      </w:r>
    </w:p>
    <w:p>
      <w:pPr>
        <w:pStyle w:val="Heading3"/>
      </w:pPr>
      <w:r>
        <w:t>Transversaux</w:t>
      </w:r>
    </w:p>
    <w:p>
      <w:pPr>
        <w:ind w:firstLine="720"/>
      </w:pPr>
      <w:r>
        <w:t>Bateson, G. (1972). Steps to an Ecology of Mind. New York: Ballantine.</w:t>
      </w:r>
    </w:p>
    <w:p>
      <w:pPr>
        <w:ind w:firstLine="720"/>
      </w:pPr>
      <w:r>
        <w:t>Bateson, G. (1979). Mind and Nature: A Necessary Unity. New York: Dutton.</w:t>
      </w:r>
    </w:p>
    <w:p>
      <w:pPr>
        <w:ind w:firstLine="720"/>
      </w:pPr>
      <w:r>
        <w:t>James, W. (1890). The Principles of Psychology. New York: Henry Holt.</w:t>
      </w:r>
    </w:p>
    <w:p>
      <w:pPr>
        <w:ind w:firstLine="720"/>
      </w:pPr>
      <w:r>
        <w:t>Stephenson, W. (1986-1988). William James, Niels Bohr, and Complementarity. Psychological Record, 36-38.</w:t>
      </w:r>
    </w:p>
    <w:p>
      <w:pPr>
        <w:pStyle w:val="Heading2"/>
      </w:pPr>
      <w:r>
        <w:t>C. Glossaire minimal</w:t>
      </w:r>
    </w:p>
    <w:p>
      <w:pPr>
        <w:ind w:firstLine="720"/>
      </w:pPr>
      <w:r>
        <w:t>— Complémentarité (Bohr) : thèse selon laquelle la description complète d'un phénomène nécessite des schèmes d'observation mutuellement exclusifs, et le dispositif d'observation participe à la constitution de ce qui apparaît.</w:t>
      </w:r>
    </w:p>
    <w:p>
      <w:pPr>
        <w:ind w:firstLine="720"/>
      </w:pPr>
      <w:r>
        <w:t>— Coupe agentielle (Barad) : séparation qui ne préexiste pas à l'intra-action qui la produit ; opération performative qui co-constitue les entités qu'elle sépare.</w:t>
      </w:r>
    </w:p>
    <w:p>
      <w:pPr>
        <w:ind w:firstLine="720"/>
      </w:pPr>
      <w:r>
        <w:t>— Coupe constitutive : motif structurel commun aux quatre domaines étudiés, caractérisé par la co-constitution du manifesté par l'opération qui le fait apparaître.</w:t>
      </w:r>
    </w:p>
    <w:p>
      <w:pPr>
        <w:ind w:firstLine="720"/>
      </w:pPr>
      <w:r>
        <w:t>— Figure/fond (Gestalt) : dynamique perceptive selon laquelle ce qui émerge à la conscience (figure) dépend de l'état de l'organisme, tandis que ce qui reste en retrait (fond) constitue une réserve de figures possibles.</w:t>
      </w:r>
    </w:p>
    <w:p>
      <w:pPr>
        <w:ind w:firstLine="720"/>
      </w:pPr>
      <w:r>
        <w:t>— Métastabilité (Kelso) : régime dynamique où les tendances opposées (intégration/ségrégation) coexistent sans se résoudre en un état stable.</w:t>
      </w:r>
    </w:p>
    <w:p>
      <w:pPr>
        <w:ind w:firstLine="720"/>
      </w:pPr>
      <w:r>
        <w:t>— Analogie structurelle : correspondance de pattern relationnel entre des domaines sans identité de mécanisme ni de formalisme.</w:t>
      </w:r>
    </w:p>
    <w:p>
      <w:pPr>
        <w:ind w:firstLine="720"/>
      </w:pPr>
      <w:r>
        <w:t>— Intra-action (Barad) : interaction qui ne suppose pas d'agents préexistants mais produit les entités qui agissent.</w:t>
      </w:r>
    </w:p>
    <w:p>
      <w:pPr>
        <w:ind w:firstLine="720"/>
      </w:pPr>
      <w:r>
        <w:t>— Porosité : degré de perméabilité d'une coupe entre les termes qu'elle sépare ; une coupe poreuse maintient une relation forte entre les termes, une coupe rigide les isole.</w:t>
      </w:r>
    </w:p>
    <w:p>
      <w:pPr>
        <w:sectPr>
          <w:headerReference w:type="default" r:id="R08907a2adbd843b2"/>
          <w:footerReference w:type="default" r:id="R746c7be69c0c4cdd"/>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bced2077d1dc4295"/>
                    <a:stretch>
                      <a:fillRect/>
                    </a:stretch>
                  </pic:blipFill>
                  <pic:spPr>
                    <a:xfrm>
                      <a:off x="0" y="0"/>
                      <a:ext cx="7560000" cy="10692000"/>
                    </a:xfrm>
                    <a:prstGeom prst="rect"/>
                  </pic:spPr>
                </pic:pic>
              </a:graphicData>
            </a:graphic>
          </wp:anchor>
        </w:drawing>
      </w:r>
    </w:p>
    <w:p>
      <w:pPr>
        <w:spacing w:before="8000"/>
      </w:pPr>
      <w:r/>
    </w:p>
    <w:p>
      <w:pPr>
        <w:spacing w:after="400"/>
        <w:jc w:val="center"/>
      </w:pPr>
      <w:r>
        <w:rPr>
          <w:rFonts w:ascii="Garamond" w:hAnsi="Garamond"/>
          <w:color w:val="1e3a5f"/>
          <w:sz w:val="36"/>
        </w:rPr>
        <w:t>Le motif de la coupe constitutive</w:t>
      </w:r>
    </w:p>
    <w:p>
      <w:pPr>
        <w:spacing w:after="200"/>
        <w:jc w:val="center"/>
      </w:pPr>
      <w:r>
        <w:rPr>
          <w:i/>
          <w:color w:val="718096"/>
          <w:sz w:val="20"/>
        </w:rPr>
        <w:t>Complémentarité, perception et observation : une lecture transversale</w:t>
      </w:r>
    </w:p>
    <w:p>
      <w:pPr>
        <w:jc w:val="center"/>
      </w:pPr>
      <w:r>
        <w:rPr>
          <w:color w:val="718096"/>
          <w:sz w:val="18"/>
        </w:rPr>
        <w:t>© 2025</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20"/>
      </w:rPr>
      <w:fldChar w:fldCharType="begin"/>
      <w:instrText xml:space="preserve"> PAGE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e94afc6bf83f4520"/>
                  <a:stretch>
                    <a:fillRect/>
                  </a:stretch>
                </pic:blipFill>
                <pic:spPr>
                  <a:xfrm>
                    <a:off x="0" y="0"/>
                    <a:ext cx="7560000" cy="10692000"/>
                  </a:xfrm>
                  <a:prstGeom prst="rect"/>
                </pic:spPr>
              </pic:pic>
            </a:graphicData>
          </a:graphic>
        </wp:anchor>
      </w:drawing>
    </w:r>
  </w:p>
  <w:p>
    <w:pPr>
      <w:spacing w:before="0" w:after="0"/>
      <w:jc w:val="right"/>
    </w:pPr>
    <w:r>
      <w:rPr>
        <w:rFonts w:ascii="Garamond" w:hAnsi="Garamond"/>
        <w:i/>
        <w:color w:val="718096"/>
        <w:sz w:val="20"/>
      </w:rPr>
      <w:t>Le motif de la coupe constitutive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40" w:line="360" w:lineRule="auto"/>
      <w:jc w:val="both"/>
    </w:pPr>
    <w:rPr>
      <w:rFonts w:ascii="Georgia" w:hAnsi="Georgia" w:eastAsia="SimSun"/>
      <w:color w:val="2c3e50"/>
      <w:sz w:val="24"/>
    </w:rPr>
  </w:style>
  <w:style w:type="paragraph" w:styleId="Heading1">
    <w:name w:val="heading 1"/>
    <w:basedOn w:val="Normal"/>
    <w:pPr>
      <w:keepNext/>
      <w:keepLines/>
      <w:pageBreakBefore/>
      <w:spacing w:before="480" w:after="360" w:line="240" w:lineRule="auto"/>
      <w:jc w:val="left"/>
      <w:outlineLvl w:val="0"/>
    </w:pPr>
    <w:rPr>
      <w:rFonts w:ascii="Garamond" w:hAnsi="Garamond"/>
      <w:b/>
      <w:color w:val="1e3a5f"/>
      <w:spacing w:val="30"/>
      <w:sz w:val="40"/>
    </w:rPr>
  </w:style>
  <w:style w:type="paragraph" w:styleId="Heading2">
    <w:name w:val="heading 2"/>
    <w:basedOn w:val="Normal"/>
    <w:pPr>
      <w:keepNext/>
      <w:keepLines/>
      <w:spacing w:before="400" w:after="200"/>
      <w:jc w:val="left"/>
      <w:outlineLvl w:val="1"/>
    </w:pPr>
    <w:rPr>
      <w:rFonts w:ascii="Garamond" w:hAnsi="Garamond"/>
      <w:b/>
      <w:color w:val="2c3e50"/>
      <w:sz w:val="30"/>
    </w:rPr>
  </w:style>
  <w:style w:type="paragraph" w:styleId="Heading3">
    <w:name w:val="heading 3"/>
    <w:basedOn w:val="Normal"/>
    <w:pPr>
      <w:keepNext/>
      <w:keepLines/>
      <w:spacing w:before="280" w:after="160"/>
      <w:jc w:val="left"/>
      <w:outlineLvl w:val="2"/>
    </w:pPr>
    <w:rPr>
      <w:rFonts w:ascii="Garamond" w:hAnsi="Garamond"/>
      <w:b/>
      <w:i/>
      <w:color w:val="4a5568"/>
      <w:sz w:val="26"/>
    </w:rPr>
  </w:style>
  <w:style w:type="paragraph" w:styleId="Quote">
    <w:name w:val="Quote"/>
    <w:basedOn w:val="Normal"/>
    <w:pPr>
      <w:spacing w:before="240" w:after="240"/>
      <w:ind w:left="720" w:right="720"/>
    </w:pPr>
    <w:rPr>
      <w:i/>
      <w:color w:val="4a5568"/>
      <w:sz w:val="22"/>
    </w:rPr>
  </w:style>
  <w:style w:type="paragraph" w:styleId="TOC1">
    <w:name w:val="toc 1"/>
    <w:basedOn w:val="Normal"/>
    <w:pPr>
      <w:tabs>
        <w:tab w:val="right" w:leader="dot" w:pos="9350"/>
      </w:tabs>
      <w:spacing w:before="200" w:after="60"/>
    </w:pPr>
    <w:rPr>
      <w:b/>
      <w:color w:val="2c3e50"/>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612e806f2eda4e0d" /><Relationship Type="http://schemas.openxmlformats.org/officeDocument/2006/relationships/numbering" Target="/word/numbering.xml" Id="R513f82483dfe4ad8" /><Relationship Type="http://schemas.openxmlformats.org/officeDocument/2006/relationships/image" Target="/media/image.png" Id="Rdbd8c994ecb94ed7" /><Relationship Type="http://schemas.openxmlformats.org/officeDocument/2006/relationships/image" Target="/media/image2.png" Id="R69e8eaebe4594930" /><Relationship Type="http://schemas.openxmlformats.org/officeDocument/2006/relationships/image" Target="/media/image3.png" Id="Rbced2077d1dc4295" /><Relationship Type="http://schemas.openxmlformats.org/officeDocument/2006/relationships/header" Target="/word/header1.xml" Id="R08907a2adbd843b2" /><Relationship Type="http://schemas.openxmlformats.org/officeDocument/2006/relationships/footer" Target="/word/footer1.xml" Id="R746c7be69c0c4cdd" /><Relationship Type="http://schemas.openxmlformats.org/officeDocument/2006/relationships/settings" Target="/word/settings.xml" Id="R57858937c2124888" /></Relationships>
</file>

<file path=word/_rels/header1.xml.rels>&#65279;<?xml version="1.0" encoding="utf-8"?><Relationships xmlns="http://schemas.openxmlformats.org/package/2006/relationships"><Relationship Type="http://schemas.openxmlformats.org/officeDocument/2006/relationships/image" Target="/media/image4.png" Id="Re94afc6bf83f4520" /></Relationships>
</file>