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fiche-s-v0.1"/>
    <w:p>
      <w:pPr>
        <w:pStyle w:val="Heading1"/>
      </w:pPr>
      <w:r>
        <w:t xml:space="preserve">Fiche (</w:t>
      </w:r>
      <w:r>
        <w:rPr>
          <w:i/>
          <w:iCs/>
        </w:rPr>
        <w:t xml:space="preserve">s /</w:t>
      </w:r>
      <w:r>
        <w:rPr>
          <w:i/>
          <w:iCs/>
        </w:rPr>
        <w:t xml:space="preserve"> </w:t>
      </w:r>
      <w:r>
        <w:t xml:space="preserve">{</w:t>
      </w:r>
      <w:r>
        <w:t xml:space="preserve">}) v0.1</w:t>
      </w:r>
    </w:p>
    <w:bookmarkStart w:id="20" w:name="Xc377aaca33962431d7b80000d016916b1406736"/>
    <w:p>
      <w:pPr>
        <w:pStyle w:val="Heading2"/>
      </w:pPr>
      <w:r>
        <w:t xml:space="preserve">Couplage fort, dépendance d’échelle et régime QCD confiné</w:t>
      </w:r>
    </w:p>
    <w:bookmarkEnd w:id="20"/>
    <w:bookmarkStart w:id="21" w:name="identification"/>
    <w:p>
      <w:pPr>
        <w:pStyle w:val="Heading2"/>
      </w:pPr>
      <w:r>
        <w:t xml:space="preserve">1. Identification</w:t>
      </w:r>
    </w:p>
    <w:p>
      <w:pPr>
        <w:pStyle w:val="FirstParagraph"/>
      </w:pPr>
      <w:r>
        <w:t xml:space="preserve">Le couplage fort, noté (</w:t>
      </w:r>
      <w:r>
        <w:t xml:space="preserve">_s), caractérise l’intensité de l’interaction forte dans la chromodynamique quantique, ou QCD. Contrairement à une constante prise comme valeur fixe indépendante du contexte, (</w:t>
      </w:r>
      <w:r>
        <w:t xml:space="preserve">_s) dépend explicitement de l’échelle d’énergie ou du transfert d’impulsion (Q). On écrit donc généralement :</w:t>
      </w:r>
    </w:p>
    <w:p>
      <w:pPr>
        <w:pStyle w:val="BodyText"/>
      </w:pPr>
      <w:r>
        <w:t xml:space="preserve">[</w:t>
      </w:r>
      <w:r>
        <w:t xml:space="preserve"> </w:t>
      </w:r>
      <w:r>
        <w:t xml:space="preserve">_s =</w:t>
      </w:r>
      <w:r>
        <w:t xml:space="preserve"> </w:t>
      </w:r>
      <w:r>
        <w:t xml:space="preserve">_s(Q^2)</w:t>
      </w:r>
      <w:r>
        <w:t xml:space="preserve"> </w:t>
      </w:r>
      <w:r>
        <w:t xml:space="preserve">]</w:t>
      </w:r>
    </w:p>
    <w:p>
      <w:pPr>
        <w:pStyle w:val="BodyText"/>
      </w:pPr>
      <w:r>
        <w:t xml:space="preserve">Cette dépendance d’échelle n’est pas un détail technique. Elle est l’un des traits structurants de QCD. À haute énergie, ou à courte distance, le couplage devient plus faible : c’est le régime de liberté asymptotique. À basse énergie, ou à grande distance, le couplage devient fort et la dynamique non perturbative domine, avec le confinement des quarks et des gluons. Deur décrit précisément (</w:t>
      </w:r>
      <w:r>
        <w:t xml:space="preserve">_s) comme le couplage de la force forte dont la valeur dépend de l’échelle à laquelle les phénomènes sont observés.</w:t>
      </w:r>
    </w:p>
    <w:p>
      <w:pPr>
        <w:pStyle w:val="BodyText"/>
      </w:pPr>
      <w:r>
        <w:t xml:space="preserve">On utilise souvent une valeur de référence au voisinage de la masse du boson (Z) :</w:t>
      </w:r>
    </w:p>
    <w:p>
      <w:pPr>
        <w:pStyle w:val="BodyText"/>
      </w:pPr>
      <w:r>
        <w:t xml:space="preserve">[</w:t>
      </w:r>
      <w:r>
        <w:t xml:space="preserve"> </w:t>
      </w:r>
      <w:r>
        <w:t xml:space="preserve">_s(M_Z)</w:t>
      </w:r>
      <w:r>
        <w:t xml:space="preserve"> </w:t>
      </w:r>
      <w:r>
        <w:t xml:space="preserve">]</w:t>
      </w:r>
    </w:p>
    <w:p>
      <w:pPr>
        <w:pStyle w:val="BodyText"/>
      </w:pPr>
      <w:r>
        <w:t xml:space="preserve">Cette valeur de référence permet de comparer les déterminations expérimentales et théoriques. Une synthèse de l’état de l’art donnait :</w:t>
      </w:r>
    </w:p>
    <w:p>
      <w:pPr>
        <w:pStyle w:val="BodyText"/>
      </w:pPr>
      <w:r>
        <w:t xml:space="preserve">[</w:t>
      </w:r>
      <w:r>
        <w:t xml:space="preserve"> </w:t>
      </w:r>
      <w:r>
        <w:t xml:space="preserve">_s(M_Z) = 0{,}1179</w:t>
      </w:r>
      <w:r>
        <w:t xml:space="preserve"> </w:t>
      </w:r>
      <w:r>
        <w:t xml:space="preserve">0009</w:t>
      </w:r>
      <w:r>
        <w:t xml:space="preserve"> </w:t>
      </w:r>
      <w:r>
        <w:t xml:space="preserve">]</w:t>
      </w:r>
    </w:p>
    <w:p>
      <w:pPr>
        <w:pStyle w:val="BodyText"/>
      </w:pPr>
      <w:r>
        <w:t xml:space="preserve">avec une incertitude d’ordre 1 %. Une détermination NNPDF publiée en 2025 trouve :</w:t>
      </w:r>
    </w:p>
    <w:p>
      <w:pPr>
        <w:pStyle w:val="BodyText"/>
      </w:pPr>
      <w:r>
        <w:t xml:space="preserve">[</w:t>
      </w:r>
      <w:r>
        <w:t xml:space="preserve"> </w:t>
      </w:r>
      <w:r>
        <w:rPr>
          <w:i/>
          <w:iCs/>
        </w:rPr>
        <w:t xml:space="preserve">s(M_Z)=0{,}1194^{+0{,}0007}</w:t>
      </w:r>
      <w:r>
        <w:t xml:space="preserve">{-0{,}0014}</w:t>
      </w:r>
      <w:r>
        <w:t xml:space="preserve"> </w:t>
      </w:r>
      <w:r>
        <w:t xml:space="preserve">]</w:t>
      </w:r>
    </w:p>
    <w:p>
      <w:pPr>
        <w:pStyle w:val="BodyText"/>
      </w:pPr>
      <w:r>
        <w:t xml:space="preserve">à une précision perturbative avancée, compatible avec les moyennes récentes et les résultats de réseau cités par les auteurs.</w:t>
      </w:r>
    </w:p>
    <w:p>
      <w:pPr>
        <w:pStyle w:val="BodyText"/>
      </w:pPr>
      <w:r>
        <w:t xml:space="preserve">Le point essentiel pour notre enquête est donc simple : (</w:t>
      </w:r>
      <w:r>
        <w:t xml:space="preserve">_s) n’est jamais seulement</w:t>
      </w:r>
      <w:r>
        <w:t xml:space="preserve"> </w:t>
      </w:r>
      <w:r>
        <w:t xml:space="preserve">“la constante forte”</w:t>
      </w:r>
      <w:r>
        <w:t xml:space="preserve">. C’est un couplage indexé à une échelle.</w:t>
      </w:r>
    </w:p>
    <w:bookmarkEnd w:id="21"/>
    <w:bookmarkStart w:id="22" w:name="statut-physique"/>
    <w:p>
      <w:pPr>
        <w:pStyle w:val="Heading2"/>
      </w:pPr>
      <w:r>
        <w:t xml:space="preserve">2. Statut physique</w:t>
      </w:r>
    </w:p>
    <w:p>
      <w:pPr>
        <w:pStyle w:val="FirstParagraph"/>
      </w:pPr>
      <w:r>
        <w:t xml:space="preserve">(</w:t>
      </w:r>
      <w:r>
        <w:t xml:space="preserve">_s) joue le rôle de couplage fondamental de QCD, mais sa valeur n’a de sens qu’une fois précisée l’échelle (Q), le schéma de renormalisation et le domaine physique considéré.</w:t>
      </w:r>
    </w:p>
    <w:p>
      <w:pPr>
        <w:pStyle w:val="BodyText"/>
      </w:pPr>
      <w:r>
        <w:t xml:space="preserve">Dans le domaine perturbatif, à haute énergie, (</w:t>
      </w:r>
      <w:r>
        <w:t xml:space="preserve">_s(Q^2)) est suffisamment faible pour que les calculs en série perturbative soient efficaces. C’est le domaine des collisions à haute énergie, des jets, des fonctions de structure et des tests de précision du Modèle standard.</w:t>
      </w:r>
    </w:p>
    <w:p>
      <w:pPr>
        <w:pStyle w:val="BodyText"/>
      </w:pPr>
      <w:r>
        <w:t xml:space="preserve">Dans le domaine non perturbatif, à basse énergie, le couplage devient fort. Les degrés de liberté observables ne sont plus des quarks et des gluons libres, mais des hadrons : protons, neutrons, mésons, états liés. Deur, Brodsky et Roberts soulignent que la connaissance de (</w:t>
      </w:r>
      <w:r>
        <w:t xml:space="preserve">_s(Q^2)) à basse impulsion est centrale pour comprendre les phénomènes d’interaction forte, notamment le confinement et la masse hadronique.</w:t>
      </w:r>
    </w:p>
    <w:p>
      <w:pPr>
        <w:pStyle w:val="BodyText"/>
      </w:pPr>
      <w:r>
        <w:t xml:space="preserve">Le statut de (</w:t>
      </w:r>
      <w:r>
        <w:t xml:space="preserve">_s) est donc double :</w:t>
      </w:r>
    </w:p>
    <w:p>
      <w:pPr>
        <w:pStyle w:val="BodyText"/>
      </w:pPr>
      <w:r>
        <w:t xml:space="preserve">[</w:t>
      </w:r>
      <w:r>
        <w:t xml:space="preserve"> </w:t>
      </w:r>
      <w:r>
        <w:t xml:space="preserve">_s(Q^2)</w:t>
      </w:r>
      <w:r>
        <w:t xml:space="preserve"> </w:t>
      </w:r>
      <w:r>
        <w:t xml:space="preserve">]</w:t>
      </w:r>
    </w:p>
    <w:p>
      <w:pPr>
        <w:pStyle w:val="BodyText"/>
      </w:pPr>
      <w:r>
        <w:t xml:space="preserve">est un couplage courant, tandis que</w:t>
      </w:r>
    </w:p>
    <w:p>
      <w:pPr>
        <w:pStyle w:val="BodyText"/>
      </w:pPr>
      <w:r>
        <w:t xml:space="preserve">[</w:t>
      </w:r>
      <w:r>
        <w:t xml:space="preserve"> </w:t>
      </w:r>
      <w:r>
        <w:t xml:space="preserve">_{</w:t>
      </w:r>
      <w:r>
        <w:t xml:space="preserve">}</w:t>
      </w:r>
      <w:r>
        <w:t xml:space="preserve"> </w:t>
      </w:r>
      <w:r>
        <w:t xml:space="preserve">]</w:t>
      </w:r>
    </w:p>
    <w:p>
      <w:pPr>
        <w:pStyle w:val="BodyText"/>
      </w:pPr>
      <w:r>
        <w:t xml:space="preserve">désigne une échelle caractéristique de QCD, associée à la transition entre le régime perturbatif et le régime non perturbatif. (</w:t>
      </w:r>
      <w:r>
        <w:t xml:space="preserve">_{</w:t>
      </w:r>
      <w:r>
        <w:t xml:space="preserve">}) n’est pas une constante sans dimension ; sa valeur dépend du schéma de renormalisation. Mais elle condense l’idée qu’une échelle de masse peut être générée par la dynamique de QCD.</w:t>
      </w:r>
    </w:p>
    <w:bookmarkEnd w:id="22"/>
    <w:bookmarkStart w:id="23" w:name="Xc732e9524359b4e23e3e015300663ebaf1fde41"/>
    <w:p>
      <w:pPr>
        <w:pStyle w:val="Heading2"/>
      </w:pPr>
      <w:r>
        <w:t xml:space="preserve">3. Dépendance d’échelle et flot de renormalisation</w:t>
      </w:r>
    </w:p>
    <w:p>
      <w:pPr>
        <w:pStyle w:val="FirstParagraph"/>
      </w:pPr>
      <w:r>
        <w:t xml:space="preserve">La QCD impose de prendre au sérieux le flot de renormalisation. Le couplage observé dépend du niveau de résolution. À haute résolution, les quarks se comportent comme des degrés de liberté faiblement couplés. À basse résolution, la force forte ne permet pas d’isoler des quarks libres ; les états physiques sont confinés.</w:t>
      </w:r>
    </w:p>
    <w:p>
      <w:pPr>
        <w:pStyle w:val="BodyText"/>
      </w:pPr>
      <w:r>
        <w:t xml:space="preserve">La valeur de (</w:t>
      </w:r>
      <w:r>
        <w:t xml:space="preserve">_s) varie donc avec (Q), non parce qu’une constante changerait arbitrairement, mais parce que le couplage effectif dépend de l’échelle de description. Cette propriété donne un cas exemplaire pour la notion de régime de constance : une grandeur peut être traitée comme stable dans une procédure de comparaison donnée, tout en étant structurellement variable avec l’échelle physique du processus.</w:t>
      </w:r>
    </w:p>
    <w:p>
      <w:pPr>
        <w:pStyle w:val="BodyText"/>
      </w:pPr>
      <w:r>
        <w:t xml:space="preserve">La fiche (</w:t>
      </w:r>
      <w:r>
        <w:t xml:space="preserve">_s) introduit donc une distinction décisive :</w:t>
      </w:r>
    </w:p>
    <w:p>
      <w:pPr>
        <w:pStyle w:val="BodyText"/>
      </w:pPr>
      <w:r>
        <w:t xml:space="preserve">[</w:t>
      </w:r>
      <w:r>
        <w:t xml:space="preserve"> </w:t>
      </w:r>
      <w:r>
        <w:t xml:space="preserve"> </w:t>
      </w:r>
      <w:r>
        <w:t xml:space="preserve"> </w:t>
      </w:r>
      <w:r>
        <w:t xml:space="preserve">]</w:t>
      </w:r>
    </w:p>
    <w:p>
      <w:pPr>
        <w:pStyle w:val="BodyText"/>
      </w:pPr>
      <w:r>
        <w:t xml:space="preserve">Une grandeur peut ne montrer aucune variation temporelle observable dans un domaine donné, tout en dépendant fortement de l’échelle d’énergie à laquelle elle est définie.</w:t>
      </w:r>
    </w:p>
    <w:bookmarkEnd w:id="23"/>
    <w:bookmarkStart w:id="24" w:name="comme-échelle-stabilisante"/>
    <w:p>
      <w:pPr>
        <w:pStyle w:val="Heading2"/>
      </w:pPr>
      <w:r>
        <w:t xml:space="preserve">4. (</w:t>
      </w:r>
      <w:r>
        <w:t xml:space="preserve">_{</w:t>
      </w:r>
      <w:r>
        <w:t xml:space="preserve">}) comme échelle stabilisante</w:t>
      </w:r>
    </w:p>
    <w:p>
      <w:pPr>
        <w:pStyle w:val="FirstParagraph"/>
      </w:pPr>
      <w:r>
        <w:t xml:space="preserve">(</w:t>
      </w:r>
      <w:r>
        <w:t xml:space="preserve">_{</w:t>
      </w:r>
      <w:r>
        <w:t xml:space="preserve">}) est particulièrement importante pour notre enquête parce qu’elle n’est pas simplement une valeur mesurée comme une masse de particule. Elle exprime l’échelle à laquelle le couplage fort devient non perturbatif. Elle marque le passage d’un régime où les calculs perturbatifs sont adaptés à un régime où les états liés hadroniques dominent.</w:t>
      </w:r>
    </w:p>
    <w:p>
      <w:pPr>
        <w:pStyle w:val="BodyText"/>
      </w:pPr>
      <w:r>
        <w:t xml:space="preserve">Dans une lecture conceptuelle, (</w:t>
      </w:r>
      <w:r>
        <w:t xml:space="preserve">_{</w:t>
      </w:r>
      <w:r>
        <w:t xml:space="preserve">}) peut être comprise comme une échelle de stabilisation du régime hadronique. Elle permet de comprendre pourquoi la masse du proton est de l’ordre du GeV, pourquoi la matière nucléaire possède ses échelles caractéristiques, et pourquoi la plus grande partie de la masse des nucléons ne provient pas directement des masses nues des quarks légers.</w:t>
      </w:r>
    </w:p>
    <w:p>
      <w:pPr>
        <w:pStyle w:val="BodyText"/>
      </w:pPr>
      <w:r>
        <w:t xml:space="preserve">Roberts rappelle que la masse du nucléon est d’environ (1 </w:t>
      </w:r>
      <w:r>
        <w:t xml:space="preserve">), soit environ 2000 fois la masse de l’électron, et que la question de son origine relève principalement de QCD, non d’une simple addition des masses des quarks de valence. Des travaux récents sur les décompositions de masse du proton soulignent aussi que les contributions quarks/gluons, l’anomalie de trace et la dépendance à l’échelle de renormalisation rendent cette question subtile.</w:t>
      </w:r>
    </w:p>
    <w:p>
      <w:pPr>
        <w:pStyle w:val="BodyText"/>
      </w:pPr>
      <w:r>
        <w:t xml:space="preserve">Pour notre grille, (</w:t>
      </w:r>
      <w:r>
        <w:t xml:space="preserve">_{</w:t>
      </w:r>
      <w:r>
        <w:t xml:space="preserve">}) joue donc un rôle plus profond que (</w:t>
      </w:r>
      <w:r>
        <w:t xml:space="preserve">_s(M_Z)). (</w:t>
      </w:r>
      <w:r>
        <w:rPr>
          <w:i/>
          <w:iCs/>
        </w:rPr>
        <w:t xml:space="preserve">s(M_Z)) est une valeur de référence du couplage à une échelle haute ; (</w:t>
      </w:r>
      <w:r>
        <w:t xml:space="preserve">{</w:t>
      </w:r>
      <w:r>
        <w:t xml:space="preserve">}) est l’indice d’un régime où la dynamique forte stabilise les échelles hadroniques.</w:t>
      </w:r>
    </w:p>
    <w:bookmarkEnd w:id="24"/>
    <w:bookmarkStart w:id="25" w:name="rapport-avec-les-fiches-précédentes"/>
    <w:p>
      <w:pPr>
        <w:pStyle w:val="Heading2"/>
      </w:pPr>
      <w:r>
        <w:t xml:space="preserve">5. Rapport avec les fiches précédentes</w:t>
      </w:r>
    </w:p>
    <w:p>
      <w:pPr>
        <w:pStyle w:val="FirstParagraph"/>
      </w:pPr>
      <w:r>
        <w:t xml:space="preserve">La fiche α avait montré qu’une constante sans dimension peut être stable empiriquement tout en possédant une dépendance d’échelle dans le cadre de la théorie quantique des champs.</w:t>
      </w:r>
    </w:p>
    <w:p>
      <w:pPr>
        <w:pStyle w:val="BodyText"/>
      </w:pPr>
      <w:r>
        <w:t xml:space="preserve">La fiche (m_e) avait montré qu’une masse dimensionnée peut dépendre d’un régime structurel précis : le régime électrofaible brisé.</w:t>
      </w:r>
    </w:p>
    <w:p>
      <w:pPr>
        <w:pStyle w:val="BodyText"/>
      </w:pPr>
      <w:r>
        <w:t xml:space="preserve">La fiche (m_p/m_e) avait montré qu’un rapport sans dimension peut condenser plusieurs régimes de stabilisation : masse électronique liée à (y_e v), masse protonique liée à QCD.</w:t>
      </w:r>
    </w:p>
    <w:p>
      <w:pPr>
        <w:pStyle w:val="BodyText"/>
      </w:pPr>
      <w:r>
        <w:t xml:space="preserve">La fiche (</w:t>
      </w:r>
      <w:r>
        <w:rPr>
          <w:i/>
          <w:iCs/>
        </w:rPr>
        <w:t xml:space="preserve">s /</w:t>
      </w:r>
      <w:r>
        <w:rPr>
          <w:i/>
          <w:iCs/>
        </w:rPr>
        <w:t xml:space="preserve"> </w:t>
      </w:r>
      <w:r>
        <w:t xml:space="preserve">{</w:t>
      </w:r>
      <w:r>
        <w:t xml:space="preserve">}) isole maintenant le cœur du numérateur protonique. Elle montre que le régime hadronique dépend d’une dynamique de couplage, de confinement et d’échelle. Ce cas rend explicite ce qui était seulement impliqué dans (m_p/m_e).</w:t>
      </w:r>
    </w:p>
    <w:bookmarkEnd w:id="25"/>
    <w:bookmarkStart w:id="26" w:name="contraintes-et-statut-observationnel"/>
    <w:p>
      <w:pPr>
        <w:pStyle w:val="Heading2"/>
      </w:pPr>
      <w:r>
        <w:t xml:space="preserve">6. Contraintes et statut observationnel</w:t>
      </w:r>
    </w:p>
    <w:p>
      <w:pPr>
        <w:pStyle w:val="FirstParagraph"/>
      </w:pPr>
      <w:r>
        <w:t xml:space="preserve">Les déterminations de (</w:t>
      </w:r>
      <w:r>
        <w:t xml:space="preserve">_s) proviennent de plusieurs familles d’observables : réseau QCD, désintégrations hadroniques du (</w:t>
      </w:r>
      <w:r>
        <w:t xml:space="preserve">), diffusion profondément inélastique, ajustements de distributions partoniques, désintégrations électrofaibles, collisions (e</w:t>
      </w:r>
      <w:r>
        <w:rPr>
          <w:vertAlign w:val="superscript"/>
        </w:rPr>
        <w:t xml:space="preserve">+e</w:t>
      </w:r>
      <w:r>
        <w:t xml:space="preserve">-), collisions (ep), collisions (pp), quarkonia et masses hadroniques. La synthèse de 2022 sur l’état de l’art souligne que la précision actuelle de (</w:t>
      </w:r>
      <w:r>
        <w:t xml:space="preserve">_s(M_Z)) limite encore certains tests du Modèle standard et que l’objectif de la décennie est de réduire l’incertitude vers le niveau du pour mille.</w:t>
      </w:r>
    </w:p>
    <w:p>
      <w:pPr>
        <w:pStyle w:val="BodyText"/>
      </w:pPr>
      <w:r>
        <w:t xml:space="preserve">Pour notre enquête, ces mesures ont deux fonctions.</w:t>
      </w:r>
    </w:p>
    <w:p>
      <w:pPr>
        <w:pStyle w:val="BodyText"/>
      </w:pPr>
      <w:r>
        <w:t xml:space="preserve">Premièrement, elles confirment que (</w:t>
      </w:r>
      <w:r>
        <w:t xml:space="preserve">_s) est une grandeur physique mesurable, contrainte et comparable entre méthodes.</w:t>
      </w:r>
    </w:p>
    <w:p>
      <w:pPr>
        <w:pStyle w:val="BodyText"/>
      </w:pPr>
      <w:r>
        <w:t xml:space="preserve">Deuxièmement, elles montrent que sa valeur pertinente doit toujours être rapportée à une échelle, à une méthode d’extraction et à un cadre de calcul.</w:t>
      </w:r>
    </w:p>
    <w:p>
      <w:pPr>
        <w:pStyle w:val="BodyText"/>
      </w:pPr>
      <w:r>
        <w:t xml:space="preserve">Cela donne à (</w:t>
      </w:r>
      <w:r>
        <w:t xml:space="preserve">_s) un statut différent de celui d’α basse énergie. La constante de structure fine peut être présentée comme une valeur basse énergie extrêmement précise, même si elle court aussi avec l’échelle. Le couplage fort, lui, met la dépendance d’échelle au premier plan. Avec (</w:t>
      </w:r>
      <w:r>
        <w:t xml:space="preserve">_s), le régime n’est pas un raffinement ajouté après coup ; il est constitutif de la grandeur.</w:t>
      </w:r>
    </w:p>
    <w:bookmarkEnd w:id="26"/>
    <w:bookmarkStart w:id="27" w:name="X08de553b9aa0a801f4a846909bbfb90935528a5"/>
    <w:p>
      <w:pPr>
        <w:pStyle w:val="Heading2"/>
      </w:pPr>
      <w:r>
        <w:t xml:space="preserve">7. Lecture par la grille des constantes effectives stabilisées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w:t>
            </w:r>
            <w:r>
              <w:rPr>
                <w:i/>
                <w:iCs/>
              </w:rPr>
              <w:t xml:space="preserve">s /</w:t>
            </w:r>
            <w:r>
              <w:rPr>
                <w:i/>
                <w:iCs/>
              </w:rPr>
              <w:t xml:space="preserve"> </w:t>
            </w:r>
            <w:r>
              <w:t xml:space="preserve">{</w:t>
            </w:r>
            <w:r>
              <w:t xml:space="preserve">})</w:t>
            </w:r>
          </w:p>
        </w:tc>
      </w:tr>
      <w:tr>
        <w:tc>
          <w:tcPr/>
          <w:p>
            <w:pPr>
              <w:pStyle w:val="Compact"/>
            </w:pPr>
            <w:r>
              <w:t xml:space="preserve">Type de grandeur</w:t>
            </w:r>
          </w:p>
        </w:tc>
        <w:tc>
          <w:tcPr/>
          <w:p>
            <w:pPr>
              <w:pStyle w:val="Compact"/>
            </w:pPr>
            <w:r>
              <w:t xml:space="preserve">Couplage courant et échelle QCD</w:t>
            </w:r>
          </w:p>
        </w:tc>
      </w:tr>
      <w:tr>
        <w:tc>
          <w:tcPr/>
          <w:p>
            <w:pPr>
              <w:pStyle w:val="Compact"/>
            </w:pPr>
            <w:r>
              <w:t xml:space="preserve">Grandeur principale</w:t>
            </w:r>
          </w:p>
        </w:tc>
        <w:tc>
          <w:tcPr/>
          <w:p>
            <w:pPr>
              <w:pStyle w:val="Compact"/>
            </w:pPr>
            <w:r>
              <w:t xml:space="preserve">(</w:t>
            </w:r>
            <w:r>
              <w:t xml:space="preserve">_s(Q^2))</w:t>
            </w:r>
          </w:p>
        </w:tc>
      </w:tr>
      <w:tr>
        <w:tc>
          <w:tcPr/>
          <w:p>
            <w:pPr>
              <w:pStyle w:val="Compact"/>
            </w:pPr>
            <w:r>
              <w:t xml:space="preserve">Valeur de référence</w:t>
            </w:r>
          </w:p>
        </w:tc>
        <w:tc>
          <w:tcPr/>
          <w:p>
            <w:pPr>
              <w:pStyle w:val="Compact"/>
            </w:pPr>
            <w:r>
              <w:t xml:space="preserve">(</w:t>
            </w:r>
            <w:r>
              <w:t xml:space="preserve">_s(M_Z)), pour comparaisons haute énergie</w:t>
            </w:r>
          </w:p>
        </w:tc>
      </w:tr>
      <w:tr>
        <w:tc>
          <w:tcPr/>
          <w:p>
            <w:pPr>
              <w:pStyle w:val="Compact"/>
            </w:pPr>
            <w:r>
              <w:t xml:space="preserve">Échelle associée</w:t>
            </w:r>
          </w:p>
        </w:tc>
        <w:tc>
          <w:tcPr/>
          <w:p>
            <w:pPr>
              <w:pStyle w:val="Compact"/>
            </w:pPr>
            <w:r>
              <w:t xml:space="preserve">(</w:t>
            </w:r>
            <w:r>
              <w:t xml:space="preserve">_{</w:t>
            </w:r>
            <w:r>
              <w:t xml:space="preserve">})</w:t>
            </w:r>
          </w:p>
        </w:tc>
      </w:tr>
      <w:tr>
        <w:tc>
          <w:tcPr/>
          <w:p>
            <w:pPr>
              <w:pStyle w:val="Compact"/>
            </w:pPr>
            <w:r>
              <w:t xml:space="preserve">Statut dimensionnel</w:t>
            </w:r>
          </w:p>
        </w:tc>
        <w:tc>
          <w:tcPr/>
          <w:p>
            <w:pPr>
              <w:pStyle w:val="Compact"/>
            </w:pPr>
            <w:r>
              <w:t xml:space="preserve">(</w:t>
            </w:r>
            <w:r>
              <w:rPr>
                <w:i/>
                <w:iCs/>
              </w:rPr>
              <w:t xml:space="preserve">s) est sans dimension ; (</w:t>
            </w:r>
            <w:r>
              <w:t xml:space="preserve">{</w:t>
            </w:r>
            <w:r>
              <w:t xml:space="preserve">}) est dimensionnée</w:t>
            </w:r>
          </w:p>
        </w:tc>
      </w:tr>
      <w:tr>
        <w:tc>
          <w:tcPr/>
          <w:p>
            <w:pPr>
              <w:pStyle w:val="Compact"/>
            </w:pPr>
            <w:r>
              <w:t xml:space="preserve">Dépendance d’échelle</w:t>
            </w:r>
          </w:p>
        </w:tc>
        <w:tc>
          <w:tcPr/>
          <w:p>
            <w:pPr>
              <w:pStyle w:val="Compact"/>
            </w:pPr>
            <w:r>
              <w:t xml:space="preserve">Structurelle</w:t>
            </w:r>
          </w:p>
        </w:tc>
      </w:tr>
      <w:tr>
        <w:tc>
          <w:tcPr/>
          <w:p>
            <w:pPr>
              <w:pStyle w:val="Compact"/>
            </w:pPr>
            <w:r>
              <w:t xml:space="preserve">Régime haute énergie</w:t>
            </w:r>
          </w:p>
        </w:tc>
        <w:tc>
          <w:tcPr/>
          <w:p>
            <w:pPr>
              <w:pStyle w:val="Compact"/>
            </w:pPr>
            <w:r>
              <w:t xml:space="preserve">Liberté asymptotique, QCD perturbative</w:t>
            </w:r>
          </w:p>
        </w:tc>
      </w:tr>
      <w:tr>
        <w:tc>
          <w:tcPr/>
          <w:p>
            <w:pPr>
              <w:pStyle w:val="Compact"/>
            </w:pPr>
            <w:r>
              <w:t xml:space="preserve">Régime basse énergie</w:t>
            </w:r>
          </w:p>
        </w:tc>
        <w:tc>
          <w:tcPr/>
          <w:p>
            <w:pPr>
              <w:pStyle w:val="Compact"/>
            </w:pPr>
            <w:r>
              <w:t xml:space="preserve">Couplage fort, confinement, hadrons</w:t>
            </w:r>
          </w:p>
        </w:tc>
      </w:tr>
      <w:tr>
        <w:tc>
          <w:tcPr/>
          <w:p>
            <w:pPr>
              <w:pStyle w:val="Compact"/>
            </w:pPr>
            <w:r>
              <w:t xml:space="preserve">Rôle pour la masse du proton</w:t>
            </w:r>
          </w:p>
        </w:tc>
        <w:tc>
          <w:tcPr/>
          <w:p>
            <w:pPr>
              <w:pStyle w:val="Compact"/>
            </w:pPr>
            <w:r>
              <w:t xml:space="preserve">Central, via la dynamique non perturbative de QCD</w:t>
            </w:r>
          </w:p>
        </w:tc>
      </w:tr>
      <w:tr>
        <w:tc>
          <w:tcPr/>
          <w:p>
            <w:pPr>
              <w:pStyle w:val="Compact"/>
            </w:pPr>
            <w:r>
              <w:t xml:space="preserve">Question centrale</w:t>
            </w:r>
          </w:p>
        </w:tc>
        <w:tc>
          <w:tcPr/>
          <w:p>
            <w:pPr>
              <w:pStyle w:val="Compact"/>
            </w:pPr>
            <w:r>
              <w:t xml:space="preserve">Comment une théorie presque sans échelle classique produit-elle une échelle hadronique stable ?</w:t>
            </w:r>
          </w:p>
        </w:tc>
      </w:tr>
    </w:tbl>
    <w:bookmarkEnd w:id="27"/>
    <w:bookmarkStart w:id="28" w:name="formulation-provisoire"/>
    <w:p>
      <w:pPr>
        <w:pStyle w:val="Heading2"/>
      </w:pPr>
      <w:r>
        <w:t xml:space="preserve">8. Formulation provisoire</w:t>
      </w:r>
    </w:p>
    <w:p>
      <w:pPr>
        <w:pStyle w:val="FirstParagraph"/>
      </w:pPr>
      <w:r>
        <w:t xml:space="preserve">(</w:t>
      </w:r>
      <w:r>
        <w:rPr>
          <w:i/>
          <w:iCs/>
        </w:rPr>
        <w:t xml:space="preserve">s) peut être comprise comme un couplage effectif dont la valeur dépend structurellement de l’échelle d’énergie. (</w:t>
      </w:r>
      <w:r>
        <w:t xml:space="preserve">{</w:t>
      </w:r>
      <w:r>
        <w:t xml:space="preserve">}) peut être comprise comme une échelle de stabilisation du régime hadronique. Ensemble, elles montrent qu’une</w:t>
      </w:r>
      <w:r>
        <w:t xml:space="preserve"> </w:t>
      </w:r>
      <w:r>
        <w:t xml:space="preserve">“constante”</w:t>
      </w:r>
      <w:r>
        <w:t xml:space="preserve"> </w:t>
      </w:r>
      <w:r>
        <w:t xml:space="preserve">peut être inséparable du flot de renormalisation et du régime de description.</w:t>
      </w:r>
    </w:p>
    <w:p>
      <w:pPr>
        <w:pStyle w:val="BodyText"/>
      </w:pPr>
      <w:r>
        <w:t xml:space="preserve">La question pertinente devient donc :</w:t>
      </w:r>
    </w:p>
    <w:p>
      <w:pPr>
        <w:pStyle w:val="BodyText"/>
      </w:pPr>
      <w:r>
        <w:t xml:space="preserve">**À quelles conditions le couplage fort peut-il être traité comme une constante, alors que sa définition même implique une dépendance d’échelle et que le régime hadronique se stabilise autour de (</w:t>
      </w:r>
      <w:r>
        <w:t xml:space="preserve">_{</w:t>
      </w:r>
      <w:r>
        <w:t xml:space="preserve">}) ?**</w:t>
      </w:r>
    </w:p>
    <w:bookmarkEnd w:id="28"/>
    <w:bookmarkStart w:id="29" w:name="X26ce6ccc34ddb298f9b279c2893ef37e6145b39"/>
    <w:p>
      <w:pPr>
        <w:pStyle w:val="Heading2"/>
      </w:pPr>
      <w:r>
        <w:t xml:space="preserve">9. Fonction de cette fiche dans l’enquête générale</w:t>
      </w:r>
    </w:p>
    <w:p>
      <w:pPr>
        <w:pStyle w:val="FirstParagraph"/>
      </w:pPr>
      <w:r>
        <w:t xml:space="preserve">La fiche (</w:t>
      </w:r>
      <w:r>
        <w:rPr>
          <w:i/>
          <w:iCs/>
        </w:rPr>
        <w:t xml:space="preserve">s /</w:t>
      </w:r>
      <w:r>
        <w:rPr>
          <w:i/>
          <w:iCs/>
        </w:rPr>
        <w:t xml:space="preserve"> </w:t>
      </w:r>
      <w:r>
        <w:t xml:space="preserve">{</w:t>
      </w:r>
      <w:r>
        <w:t xml:space="preserve">}) confirme que la grille doit intégrer une catégorie spécifique : les constantes d’échelle dynamique.</w:t>
      </w:r>
    </w:p>
    <w:p>
      <w:pPr>
        <w:pStyle w:val="BodyText"/>
      </w:pPr>
      <w:r>
        <w:t xml:space="preserve">Cette catégorie désigne les grandeurs dont le statut de constance dépend d’un flot de renormalisation, d’un changement de régime énergétique et d’une stabilisation effective à une échelle donnée. Elle permet de distinguer une constante de valeur, comme une valeur de référence mesurée, d’une constante de régime, comme l’échelle autour de laquelle une dynamique physique organise ses états stables.</w:t>
      </w:r>
    </w:p>
    <w:p>
      <w:pPr>
        <w:pStyle w:val="BodyText"/>
      </w:pPr>
      <w:r>
        <w:t xml:space="preserve">Ce cas complète le premier cycle de l’enquête :</w:t>
      </w:r>
    </w:p>
    <w:p>
      <w:pPr>
        <w:pStyle w:val="BodyText"/>
      </w:pPr>
      <w:r>
        <w:t xml:space="preserve">[</w:t>
      </w:r>
      <w:r>
        <w:t xml:space="preserve"> </w:t>
      </w:r>
      <w:r>
        <w:t xml:space="preserve"> </w:t>
      </w:r>
      <w:r>
        <w:t xml:space="preserve">]</w:t>
      </w:r>
    </w:p>
    <w:p>
      <w:pPr>
        <w:pStyle w:val="BodyText"/>
      </w:pPr>
      <w:r>
        <w:t xml:space="preserve">a testé la stabilité observationnelle et le rapport sans dimension.</w:t>
      </w:r>
    </w:p>
    <w:p>
      <w:pPr>
        <w:pStyle w:val="BodyText"/>
      </w:pPr>
      <w:r>
        <w:t xml:space="preserve">[</w:t>
      </w:r>
      <w:r>
        <w:t xml:space="preserve"> </w:t>
      </w:r>
      <w:r>
        <w:t xml:space="preserve">m_e</w:t>
      </w:r>
      <w:r>
        <w:t xml:space="preserve"> </w:t>
      </w:r>
      <w:r>
        <w:t xml:space="preserve">]</w:t>
      </w:r>
    </w:p>
    <w:p>
      <w:pPr>
        <w:pStyle w:val="BodyText"/>
      </w:pPr>
      <w:r>
        <w:t xml:space="preserve">a testé la dépendance au régime électrofaible brisé.</w:t>
      </w:r>
    </w:p>
    <w:p>
      <w:pPr>
        <w:pStyle w:val="BodyText"/>
      </w:pPr>
      <w:r>
        <w:t xml:space="preserve">[</w:t>
      </w:r>
      <w:r>
        <w:t xml:space="preserve"> </w:t>
      </w:r>
      <w:r>
        <w:t xml:space="preserve">m_p/m_e</w:t>
      </w:r>
      <w:r>
        <w:t xml:space="preserve"> </w:t>
      </w:r>
      <w:r>
        <w:t xml:space="preserve">]</w:t>
      </w:r>
    </w:p>
    <w:p>
      <w:pPr>
        <w:pStyle w:val="BodyText"/>
      </w:pPr>
      <w:r>
        <w:t xml:space="preserve">a testé la relation stratifiée entre deux masses issues de régimes distincts.</w:t>
      </w:r>
    </w:p>
    <w:p>
      <w:pPr>
        <w:pStyle w:val="BodyText"/>
      </w:pPr>
      <w:r>
        <w:t xml:space="preserve">[</w:t>
      </w:r>
      <w:r>
        <w:t xml:space="preserve"> </w:t>
      </w:r>
      <w:r>
        <w:rPr>
          <w:i/>
          <w:iCs/>
        </w:rPr>
        <w:t xml:space="preserve">s /</w:t>
      </w:r>
      <w:r>
        <w:rPr>
          <w:i/>
          <w:iCs/>
        </w:rPr>
        <w:t xml:space="preserve"> </w:t>
      </w:r>
      <w:r>
        <w:t xml:space="preserve">{</w:t>
      </w:r>
      <w:r>
        <w:t xml:space="preserve">}</w:t>
      </w:r>
      <w:r>
        <w:t xml:space="preserve"> </w:t>
      </w:r>
      <w:r>
        <w:t xml:space="preserve">]</w:t>
      </w:r>
    </w:p>
    <w:p>
      <w:pPr>
        <w:pStyle w:val="BodyText"/>
      </w:pPr>
      <w:r>
        <w:t xml:space="preserve">teste maintenant la dépendance d’échelle et la stabilisation dynamique du régime hadronique.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2026-07-08T17:16:50Z</dcterms:created>
  <dcterms:modified xsi:type="dcterms:W3CDTF">2026-07-08T17:16:50Z</dcterms:modified>
</cp:coreProperties>
</file>

<file path=docProps/custom.xml><?xml version="1.0" encoding="utf-8"?>
<Properties xmlns="http://schemas.openxmlformats.org/officeDocument/2006/custom-properties" xmlns:vt="http://schemas.openxmlformats.org/officeDocument/2006/docPropsVTypes"/>
</file>