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synthèse-du-premier-cycle-v0.1"/>
    <w:p>
      <w:pPr>
        <w:pStyle w:val="Heading1"/>
      </w:pPr>
      <w:r>
        <w:t xml:space="preserve">Synthèse du premier cycle v0.1</w:t>
      </w:r>
    </w:p>
    <w:bookmarkStart w:id="20" w:name="X7968007f49e4e3bbf6105bb07a919f259215392"/>
    <w:p>
      <w:pPr>
        <w:pStyle w:val="Heading2"/>
      </w:pPr>
      <w:r>
        <w:t xml:space="preserve">Typologie provisoire des régimes de constance</w:t>
      </w:r>
    </w:p>
    <w:bookmarkEnd w:id="20"/>
    <w:bookmarkStart w:id="21" w:name="fonction-de-cette-synthèse"/>
    <w:p>
      <w:pPr>
        <w:pStyle w:val="Heading2"/>
      </w:pPr>
      <w:r>
        <w:t xml:space="preserve">1. Fonction de cette synthèse</w:t>
      </w:r>
    </w:p>
    <w:p>
      <w:pPr>
        <w:pStyle w:val="FirstParagraph"/>
      </w:pPr>
      <w:r>
        <w:t xml:space="preserve">Le premier cycle de l’enquête a porté sur quatre cas : (</w:t>
      </w:r>
      <w:r>
        <w:t xml:space="preserve">), (m_e), (m_p/m_e), et (</w:t>
      </w:r>
      <w:r>
        <w:rPr>
          <w:i/>
          <w:iCs/>
        </w:rPr>
        <w:t xml:space="preserve">s /</w:t>
      </w:r>
      <w:r>
        <w:rPr>
          <w:i/>
          <w:iCs/>
        </w:rPr>
        <w:t xml:space="preserve"> </w:t>
      </w:r>
      <w:r>
        <w:t xml:space="preserve">{</w:t>
      </w:r>
      <w:r>
        <w:t xml:space="preserve">}). Ces cas n’ont pas été choisis pour couvrir l’ensemble des constantes physiques, mais pour tester la robustesse d’une grille : une grandeur traitée comme constante peut-elle être décrite selon ses conditions de définissabilité, de mesure, de stabilité et de régime ?</w:t>
      </w:r>
    </w:p>
    <w:p>
      <w:pPr>
        <w:pStyle w:val="BodyText"/>
      </w:pPr>
      <w:r>
        <w:t xml:space="preserve">Le résultat principal est méthodologique. La notion de constante effective stabilisée ne désigne pas une catégorie uniforme. Elle ouvre plutôt une famille de statuts. Une constante peut être un rapport sans dimension, une grandeur dimensionnée stabilisée dans un régime de basse énergie, un rapport stratifié entre plusieurs dynamiques, ou une échelle produite par un flot de renormalisation. Le mot</w:t>
      </w:r>
      <w:r>
        <w:t xml:space="preserve"> </w:t>
      </w:r>
      <w:r>
        <w:t xml:space="preserve">“constante”</w:t>
      </w:r>
      <w:r>
        <w:t xml:space="preserve"> </w:t>
      </w:r>
      <w:r>
        <w:t xml:space="preserve">recouvre donc des formes de stabilité différentes.</w:t>
      </w:r>
    </w:p>
    <w:p>
      <w:pPr>
        <w:pStyle w:val="BodyText"/>
      </w:pPr>
      <w:r>
        <w:t xml:space="preserve">Cette synthèse ne vise pas encore à tirer une conclusion générale sur les constantes physiques. Elle vise à extraire les types de constance que les quatre fiches ont rendus visibles.</w:t>
      </w:r>
    </w:p>
    <w:bookmarkEnd w:id="21"/>
    <w:bookmarkStart w:id="22" w:name="socle-méthodologique"/>
    <w:p>
      <w:pPr>
        <w:pStyle w:val="Heading2"/>
      </w:pPr>
      <w:r>
        <w:t xml:space="preserve">2. Socle méthodologique</w:t>
      </w:r>
    </w:p>
    <w:p>
      <w:pPr>
        <w:pStyle w:val="FirstParagraph"/>
      </w:pPr>
      <w:r>
        <w:t xml:space="preserve">L’enquête s’appuie sur trois distinctions de base.</w:t>
      </w:r>
    </w:p>
    <w:p>
      <w:pPr>
        <w:pStyle w:val="BodyText"/>
      </w:pPr>
      <w:r>
        <w:t xml:space="preserve">Première distinction : les constantes dimensionnées et les constantes sans dimension. Les constantes dimensionnées, comme (m_e) ou (</w:t>
      </w:r>
      <w:r>
        <w:t xml:space="preserve">_{</w:t>
      </w:r>
      <w:r>
        <w:t xml:space="preserve">}), ont une valeur numérique dépendante du système d’unités. Les rapports sans dimension, comme (</w:t>
      </w:r>
      <w:r>
        <w:t xml:space="preserve">) ou (m_p/m_e), ont un statut plus robuste pour les comparaisons physiques et les tests de variation. Uzan rappelle que les tests de variation des constantes sont liés à l’invariance de position locale, au principe d’équivalence et à la possibilité de nouveaux degrés de liberté couplés à la matière ordinaire.</w:t>
      </w:r>
    </w:p>
    <w:p>
      <w:pPr>
        <w:pStyle w:val="BodyText"/>
      </w:pPr>
      <w:r>
        <w:t xml:space="preserve">Deuxième distinction : la valeur mesurée et le statut théorique. Une constante peut être déterminée avec une grande précision sans que son statut soit simple. Les valeurs CODATA fournissent un ajustement cohérent des constantes physiques à partir des données théoriques et expérimentales disponibles, mais cette stabilisation métrologique ne suffit pas à dire quel type de grandeur est en jeu.</w:t>
      </w:r>
    </w:p>
    <w:p>
      <w:pPr>
        <w:pStyle w:val="BodyText"/>
      </w:pPr>
      <w:r>
        <w:t xml:space="preserve">Troisième distinction : la stabilité temporelle et la dépendance de régime. Une grandeur peut être stable dans les observations disponibles tout en dépendant d’une échelle d’énergie, d’une brisure de symétrie ou d’un régime de description. Ce point est particulièrement clair dans QCD, où le couplage fort (</w:t>
      </w:r>
      <w:r>
        <w:t xml:space="preserve">_s) dépend de l’échelle physique à laquelle les phénomènes sont observés.</w:t>
      </w:r>
    </w:p>
    <w:bookmarkEnd w:id="22"/>
    <w:bookmarkStart w:id="23" w:name="résultat-général-du-premier-cycle"/>
    <w:p>
      <w:pPr>
        <w:pStyle w:val="Heading2"/>
      </w:pPr>
      <w:r>
        <w:t xml:space="preserve">3. Résultat général du premier cycle</w:t>
      </w:r>
    </w:p>
    <w:p>
      <w:pPr>
        <w:pStyle w:val="FirstParagraph"/>
      </w:pPr>
      <w:r>
        <w:t xml:space="preserve">Les quatre fiches montrent que la constance n’est pas une propriété homogène. Elle peut désigner au moins quatre choses :</w:t>
      </w:r>
    </w:p>
    <w:p>
      <w:pPr>
        <w:pStyle w:val="BodyText"/>
      </w:pPr>
      <w:r>
        <w:t xml:space="preserve">une stabilité observationnelle ;</w:t>
      </w:r>
    </w:p>
    <w:p>
      <w:pPr>
        <w:pStyle w:val="BodyText"/>
      </w:pPr>
      <w:r>
        <w:t xml:space="preserve">une valeur de référence dans un régime donné ;</w:t>
      </w:r>
    </w:p>
    <w:p>
      <w:pPr>
        <w:pStyle w:val="BodyText"/>
      </w:pPr>
      <w:r>
        <w:t xml:space="preserve">une relation entre plusieurs échelles physiques ;</w:t>
      </w:r>
    </w:p>
    <w:p>
      <w:pPr>
        <w:pStyle w:val="BodyText"/>
      </w:pPr>
      <w:r>
        <w:t xml:space="preserve">une grandeur dépendante de l’échelle mais stabilisée dans certaines procédures de comparaison.</w:t>
      </w:r>
    </w:p>
    <w:p>
      <w:pPr>
        <w:pStyle w:val="BodyText"/>
      </w:pPr>
      <w:r>
        <w:t xml:space="preserve">La question centrale devient donc :</w:t>
      </w:r>
    </w:p>
    <w:p>
      <w:pPr>
        <w:pStyle w:val="BodyText"/>
      </w:pPr>
      <w:r>
        <w:rPr>
          <w:b/>
          <w:bCs/>
        </w:rPr>
        <w:t xml:space="preserve">Quel type de stabilité est porté par la grandeur que nous appelons constante ?</w:t>
      </w:r>
    </w:p>
    <w:p>
      <w:pPr>
        <w:pStyle w:val="BodyText"/>
      </w:pPr>
      <w:r>
        <w:t xml:space="preserve">Cette formulation déplace l’enquête. On ne demande pas seulement si une constante varie. On demande dans quel régime elle possède les propriétés permettant de la traiter comme constante.</w:t>
      </w:r>
    </w:p>
    <w:bookmarkEnd w:id="23"/>
    <w:bookmarkStart w:id="28" w:name="les-quatre-cas-du-premier-cycle"/>
    <w:p>
      <w:pPr>
        <w:pStyle w:val="Heading2"/>
      </w:pPr>
      <w:r>
        <w:t xml:space="preserve">4. Les quatre cas du premier cycle</w:t>
      </w:r>
    </w:p>
    <w:bookmarkStart w:id="24" w:name="constante-de-régime-électromagnétique"/>
    <w:p>
      <w:pPr>
        <w:pStyle w:val="Heading3"/>
      </w:pPr>
      <w:r>
        <w:t xml:space="preserve">4.1 (</w:t>
      </w:r>
      <w:r>
        <w:t xml:space="preserve">) : constante de régime électromagnétique</w:t>
      </w:r>
    </w:p>
    <w:p>
      <w:pPr>
        <w:pStyle w:val="FirstParagraph"/>
      </w:pPr>
      <w:r>
        <w:t xml:space="preserve">La constante de structure fine (</w:t>
      </w:r>
      <w:r>
        <w:t xml:space="preserve">) est un rapport sans dimension. Elle constitue un cas très favorable pour l’enquête, parce qu’elle est à la fois fortement contrainte observationnellement et conceptuellement propre du point de vue métrologique.</w:t>
      </w:r>
    </w:p>
    <w:p>
      <w:pPr>
        <w:pStyle w:val="BodyText"/>
      </w:pPr>
      <w:r>
        <w:t xml:space="preserve">La fiche (</w:t>
      </w:r>
      <w:r>
        <w:t xml:space="preserve">) a montré qu’une constante peut être très stable empiriquement tout en ayant plusieurs statuts selon le régime : constante spectroscopique, couplage QED basse énergie, couplage courant (</w:t>
      </w:r>
      <w:r>
        <w:t xml:space="preserve">(Q^2)), paramètre testé en cosmologie observationnelle. Son intérêt principal est donc de distinguer la stabilité empirique de la simplicité théorique.</w:t>
      </w:r>
    </w:p>
    <w:p>
      <w:pPr>
        <w:pStyle w:val="BodyText"/>
      </w:pPr>
      <w:r>
        <w:t xml:space="preserve">Catégorie provisoire :</w:t>
      </w:r>
    </w:p>
    <w:p>
      <w:pPr>
        <w:pStyle w:val="BodyText"/>
      </w:pPr>
      <w:r>
        <w:rPr>
          <w:b/>
          <w:bCs/>
        </w:rPr>
        <w:t xml:space="preserve">constante de régime électromagnétique stabilisé.</w:t>
      </w:r>
    </w:p>
    <w:bookmarkEnd w:id="24"/>
    <w:bookmarkStart w:id="25" w:name="m_e-constante-de-régime-brisé"/>
    <w:p>
      <w:pPr>
        <w:pStyle w:val="Heading3"/>
      </w:pPr>
      <w:r>
        <w:t xml:space="preserve">4.2 (m_e) : constante de régime brisé</w:t>
      </w:r>
    </w:p>
    <w:p>
      <w:pPr>
        <w:pStyle w:val="FirstParagraph"/>
      </w:pPr>
      <w:r>
        <w:t xml:space="preserve">La masse de l’électron est une grandeur dimensionnée. Sa valeur numérique dépend des unités, mais son rôle physique est central dans la physique atomique, moléculaire et basse énergie.</w:t>
      </w:r>
    </w:p>
    <w:p>
      <w:pPr>
        <w:pStyle w:val="BodyText"/>
      </w:pPr>
      <w:r>
        <w:t xml:space="preserve">La fiche (m_e) a montré que cette masse n’a pas seulement un statut métrologique. Dans le Modèle standard, elle est liée au couplage de Yukawa de l’électron et à la valeur moyenne du champ de Higgs dans le vide. Le modèle électrofaible introduit un doublet de Higgs dont la valeur moyenne non nulle brise (SU(2)_L</w:t>
      </w:r>
      <w:r>
        <w:t xml:space="preserve"> </w:t>
      </w:r>
      <w:r>
        <w:t xml:space="preserve">U(1)</w:t>
      </w:r>
      <w:r>
        <w:rPr>
          <w:i/>
          <w:iCs/>
        </w:rPr>
        <w:t xml:space="preserve">Y) vers (U(1)</w:t>
      </w:r>
      <w:r>
        <w:t xml:space="preserve">{</w:t>
      </w:r>
      <w:r>
        <w:t xml:space="preserve">}), avec (v</w:t>
      </w:r>
      <w:r>
        <w:t xml:space="preserve"> </w:t>
      </w:r>
      <w:r>
        <w:t xml:space="preserve"> </w:t>
      </w:r>
      <w:r>
        <w:t xml:space="preserve">) ; après cette brisure, les masses fermioniques et les masses des bosons (W) et (Z) prennent leur statut basse énergie.</w:t>
      </w:r>
    </w:p>
    <w:p>
      <w:pPr>
        <w:pStyle w:val="BodyText"/>
      </w:pPr>
      <w:r>
        <w:t xml:space="preserve">La masse de l’électron montre donc qu’une constante actuelle peut dépendre d’un régime structurel précis. Sa constance n’est pas seulement celle d’un nombre mesuré ; elle est celle d’une grandeur devenue physiquement définissable dans le régime électrofaible brisé.</w:t>
      </w:r>
    </w:p>
    <w:p>
      <w:pPr>
        <w:pStyle w:val="BodyText"/>
      </w:pPr>
      <w:r>
        <w:t xml:space="preserve">Catégorie provisoire :</w:t>
      </w:r>
    </w:p>
    <w:p>
      <w:pPr>
        <w:pStyle w:val="BodyText"/>
      </w:pPr>
      <w:r>
        <w:rPr>
          <w:b/>
          <w:bCs/>
        </w:rPr>
        <w:t xml:space="preserve">constante de régime brisé.</w:t>
      </w:r>
    </w:p>
    <w:bookmarkEnd w:id="25"/>
    <w:bookmarkStart w:id="26" w:name="Xb748a85eda92710da5980dedd3cae311a05d76b"/>
    <w:p>
      <w:pPr>
        <w:pStyle w:val="Heading3"/>
      </w:pPr>
      <w:r>
        <w:t xml:space="preserve">4.3 (m_p/m_e) : constante relationnelle stratifiée</w:t>
      </w:r>
    </w:p>
    <w:p>
      <w:pPr>
        <w:pStyle w:val="FirstParagraph"/>
      </w:pPr>
      <w:r>
        <w:t xml:space="preserve">Le rapport proton/électron est sans dimension, mais il n’est pas simple. Il met en relation deux masses dont les conditions de constitution sont différentes.</w:t>
      </w:r>
    </w:p>
    <w:p>
      <w:pPr>
        <w:pStyle w:val="BodyText"/>
      </w:pPr>
      <w:r>
        <w:t xml:space="preserve">Le dénominateur, (m_e), renvoie au régime électrofaible brisé. Le numérateur, (m_p), renvoie principalement à QCD, au confinement, à l’énergie gluonique, aux contributions non perturbatives et à l’échelle hadronique. Le rapport (m_p/m_e) condense donc plusieurs couches de physique dans une seule grandeur sans dimension.</w:t>
      </w:r>
    </w:p>
    <w:p>
      <w:pPr>
        <w:pStyle w:val="BodyText"/>
      </w:pPr>
      <w:r>
        <w:t xml:space="preserve">La fiche (m_p/m_e) a fait apparaître une catégorie importante : certaines constantes sont des rapports physiquement robustes, mais théoriquement stratifiés. Elles sont simples du point de vue métrologique, mais composites du point de vue explicatif.</w:t>
      </w:r>
    </w:p>
    <w:p>
      <w:pPr>
        <w:pStyle w:val="BodyText"/>
      </w:pPr>
      <w:r>
        <w:t xml:space="preserve">Catégorie provisoire :</w:t>
      </w:r>
    </w:p>
    <w:p>
      <w:pPr>
        <w:pStyle w:val="BodyText"/>
      </w:pPr>
      <w:r>
        <w:rPr>
          <w:b/>
          <w:bCs/>
        </w:rPr>
        <w:t xml:space="preserve">constante relationnelle stratifiée.</w:t>
      </w:r>
    </w:p>
    <w:bookmarkEnd w:id="26"/>
    <w:bookmarkStart w:id="27" w:name="s-constante-déchelle-dynamique"/>
    <w:p>
      <w:pPr>
        <w:pStyle w:val="Heading3"/>
      </w:pPr>
      <w:r>
        <w:t xml:space="preserve">4.4 (</w:t>
      </w:r>
      <w:r>
        <w:rPr>
          <w:i/>
          <w:iCs/>
        </w:rPr>
        <w:t xml:space="preserve">s /</w:t>
      </w:r>
      <w:r>
        <w:rPr>
          <w:i/>
          <w:iCs/>
        </w:rPr>
        <w:t xml:space="preserve"> </w:t>
      </w:r>
      <w:r>
        <w:t xml:space="preserve">{</w:t>
      </w:r>
      <w:r>
        <w:t xml:space="preserve">}) : constante d’échelle dynamique</w:t>
      </w:r>
    </w:p>
    <w:p>
      <w:pPr>
        <w:pStyle w:val="FirstParagraph"/>
      </w:pPr>
      <w:r>
        <w:t xml:space="preserve">Le couplage fort (</w:t>
      </w:r>
      <w:r>
        <w:t xml:space="preserve">_s) impose la notion d’échelle au cœur de l’enquête. Sa valeur dépend explicitement de l’échelle d’énergie ou du transfert d’impulsion. À haute énergie, le couplage devient faible ; à basse énergie, la dynamique devient non perturbative et conduit au confinement.</w:t>
      </w:r>
    </w:p>
    <w:p>
      <w:pPr>
        <w:pStyle w:val="BodyText"/>
      </w:pPr>
      <w:r>
        <w:t xml:space="preserve">La fiche (</w:t>
      </w:r>
      <w:r>
        <w:rPr>
          <w:i/>
          <w:iCs/>
        </w:rPr>
        <w:t xml:space="preserve">s /</w:t>
      </w:r>
      <w:r>
        <w:rPr>
          <w:i/>
          <w:iCs/>
        </w:rPr>
        <w:t xml:space="preserve"> </w:t>
      </w:r>
      <w:r>
        <w:t xml:space="preserve">{</w:t>
      </w:r>
      <w:r>
        <w:t xml:space="preserve">}) a montré que certaines constantes sont inséparables du flot de renormalisation. (</w:t>
      </w:r>
      <w:r>
        <w:t xml:space="preserve">_s(M_Z)) peut servir de valeur de référence, mais (</w:t>
      </w:r>
      <w:r>
        <w:rPr>
          <w:i/>
          <w:iCs/>
        </w:rPr>
        <w:t xml:space="preserve">s(Q^2)) est structurellement indexée à l’échelle. (</w:t>
      </w:r>
      <w:r>
        <w:t xml:space="preserve">{</w:t>
      </w:r>
      <w:r>
        <w:t xml:space="preserve">}), de son côté, fonctionne comme une échelle de stabilisation du régime hadronique.</w:t>
      </w:r>
    </w:p>
    <w:p>
      <w:pPr>
        <w:pStyle w:val="BodyText"/>
      </w:pPr>
      <w:r>
        <w:t xml:space="preserve">Ce cas est décisif parce qu’il empêche de réduire la constance à la fixité d’une valeur. En QCD, une grandeur peut être stable comme structure de régime tout en étant variable avec l’échelle de résolution.</w:t>
      </w:r>
    </w:p>
    <w:p>
      <w:pPr>
        <w:pStyle w:val="BodyText"/>
      </w:pPr>
      <w:r>
        <w:t xml:space="preserve">Catégorie provisoire :</w:t>
      </w:r>
    </w:p>
    <w:p>
      <w:pPr>
        <w:pStyle w:val="BodyText"/>
      </w:pPr>
      <w:r>
        <w:rPr>
          <w:b/>
          <w:bCs/>
        </w:rPr>
        <w:t xml:space="preserve">constante d’échelle dynamique.</w:t>
      </w:r>
    </w:p>
    <w:bookmarkEnd w:id="27"/>
    <w:bookmarkEnd w:id="28"/>
    <w:bookmarkStart w:id="29" w:name="typologie-provisoire"/>
    <w:p>
      <w:pPr>
        <w:pStyle w:val="Heading2"/>
      </w:pPr>
      <w:r>
        <w:t xml:space="preserve">5. Typologie provisoire</w:t>
      </w:r>
    </w:p>
    <w:p>
      <w:pPr>
        <w:pStyle w:val="FirstParagraph"/>
      </w:pPr>
      <w:r>
        <w:t xml:space="preserve">Le premier cycle permet donc de proposer une première typologie.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Définition provisoire</w:t>
            </w:r>
          </w:p>
        </w:tc>
        <w:tc>
          <w:tcPr/>
          <w:p>
            <w:pPr>
              <w:pStyle w:val="Compact"/>
            </w:pPr>
            <w:r>
              <w:t xml:space="preserve">Cas exemplaire</w:t>
            </w:r>
          </w:p>
        </w:tc>
        <w:tc>
          <w:tcPr/>
          <w:p>
            <w:pPr>
              <w:pStyle w:val="Compact"/>
            </w:pPr>
            <w:r>
              <w:t xml:space="preserve">Point critique</w:t>
            </w:r>
          </w:p>
        </w:tc>
      </w:tr>
      <w:tr>
        <w:tc>
          <w:tcPr/>
          <w:p>
            <w:pPr>
              <w:pStyle w:val="Compact"/>
            </w:pPr>
            <w:r>
              <w:t xml:space="preserve">Constante de régime électromagnétique stabilisé</w:t>
            </w:r>
          </w:p>
        </w:tc>
        <w:tc>
          <w:tcPr/>
          <w:p>
            <w:pPr>
              <w:pStyle w:val="Compact"/>
            </w:pPr>
            <w:r>
              <w:t xml:space="preserve">Rapport sans dimension stable dans le régime électromagnétique basse énergie, tout en pouvant être traité comme couplage courant</w:t>
            </w:r>
          </w:p>
        </w:tc>
        <w:tc>
          <w:tcPr/>
          <w:p>
            <w:pPr>
              <w:pStyle w:val="Compact"/>
            </w:pPr>
            <w:r>
              <w:t xml:space="preserve">(</w:t>
            </w:r>
            <w:r>
              <w:t xml:space="preserve">)</w:t>
            </w:r>
          </w:p>
        </w:tc>
        <w:tc>
          <w:tcPr/>
          <w:p>
            <w:pPr>
              <w:pStyle w:val="Compact"/>
            </w:pPr>
            <w:r>
              <w:t xml:space="preserve">Ne pas confondre stabilité empirique et indépendance d’échelle</w:t>
            </w:r>
          </w:p>
        </w:tc>
      </w:tr>
      <w:tr>
        <w:tc>
          <w:tcPr/>
          <w:p>
            <w:pPr>
              <w:pStyle w:val="Compact"/>
            </w:pPr>
            <w:r>
              <w:t xml:space="preserve">Constante de régime brisé</w:t>
            </w:r>
          </w:p>
        </w:tc>
        <w:tc>
          <w:tcPr/>
          <w:p>
            <w:pPr>
              <w:pStyle w:val="Compact"/>
            </w:pPr>
            <w:r>
              <w:t xml:space="preserve">Grandeur définissable comme constante après installation d’un régime de symétrie brisée</w:t>
            </w:r>
          </w:p>
        </w:tc>
        <w:tc>
          <w:tcPr/>
          <w:p>
            <w:pPr>
              <w:pStyle w:val="Compact"/>
            </w:pPr>
            <w:r>
              <w:t xml:space="preserve">(m_e)</w:t>
            </w:r>
          </w:p>
        </w:tc>
        <w:tc>
          <w:tcPr/>
          <w:p>
            <w:pPr>
              <w:pStyle w:val="Compact"/>
            </w:pPr>
            <w:r>
              <w:t xml:space="preserve">Distinguer valeur mesurée, masse effective et structure Higgs/Yukawa</w:t>
            </w:r>
          </w:p>
        </w:tc>
      </w:tr>
      <w:tr>
        <w:tc>
          <w:tcPr/>
          <w:p>
            <w:pPr>
              <w:pStyle w:val="Compact"/>
            </w:pPr>
            <w:r>
              <w:t xml:space="preserve">Constante relationnelle stratifiée</w:t>
            </w:r>
          </w:p>
        </w:tc>
        <w:tc>
          <w:tcPr/>
          <w:p>
            <w:pPr>
              <w:pStyle w:val="Compact"/>
            </w:pPr>
            <w:r>
              <w:t xml:space="preserve">Rapport sans dimension reliant plusieurs dynamiques physiques distinctes</w:t>
            </w:r>
          </w:p>
        </w:tc>
        <w:tc>
          <w:tcPr/>
          <w:p>
            <w:pPr>
              <w:pStyle w:val="Compact"/>
            </w:pPr>
            <w:r>
              <w:t xml:space="preserve">(m_p/m_e)</w:t>
            </w:r>
          </w:p>
        </w:tc>
        <w:tc>
          <w:tcPr/>
          <w:p>
            <w:pPr>
              <w:pStyle w:val="Compact"/>
            </w:pPr>
            <w:r>
              <w:t xml:space="preserve">Ne pas prendre la simplicité du rapport pour une simplicité théorique</w:t>
            </w:r>
          </w:p>
        </w:tc>
      </w:tr>
      <w:tr>
        <w:tc>
          <w:tcPr/>
          <w:p>
            <w:pPr>
              <w:pStyle w:val="Compact"/>
            </w:pPr>
            <w:r>
              <w:t xml:space="preserve">Constante d’échelle dynamique</w:t>
            </w:r>
          </w:p>
        </w:tc>
        <w:tc>
          <w:tcPr/>
          <w:p>
            <w:pPr>
              <w:pStyle w:val="Compact"/>
            </w:pPr>
            <w:r>
              <w:t xml:space="preserve">Couplage ou échelle dont le statut dépend d’un flot de renormalisation et d’un régime énergétique</w:t>
            </w:r>
          </w:p>
        </w:tc>
        <w:tc>
          <w:tcPr/>
          <w:p>
            <w:pPr>
              <w:pStyle w:val="Compact"/>
            </w:pPr>
            <w:r>
              <w:t xml:space="preserve">(</w:t>
            </w:r>
            <w:r>
              <w:rPr>
                <w:i/>
                <w:iCs/>
              </w:rPr>
              <w:t xml:space="preserve">s /</w:t>
            </w:r>
            <w:r>
              <w:rPr>
                <w:i/>
                <w:iCs/>
              </w:rPr>
              <w:t xml:space="preserve"> </w:t>
            </w:r>
            <w:r>
              <w:t xml:space="preserve">{</w:t>
            </w:r>
            <w:r>
              <w:t xml:space="preserve">})</w:t>
            </w:r>
          </w:p>
        </w:tc>
        <w:tc>
          <w:tcPr/>
          <w:p>
            <w:pPr>
              <w:pStyle w:val="Compact"/>
            </w:pPr>
            <w:r>
              <w:t xml:space="preserve">Distinguer constance temporelle, valeur de référence et dépendance d’échelle</w:t>
            </w:r>
          </w:p>
        </w:tc>
      </w:tr>
    </w:tbl>
    <w:p>
      <w:pPr>
        <w:pStyle w:val="BodyText"/>
      </w:pPr>
      <w:r>
        <w:t xml:space="preserve">Cette typologie reste provisoire. Elle ne prétend pas classer toutes les constantes physiques. Elle sert à organiser le terrain et à rendre explicites les différences de statut.</w:t>
      </w:r>
    </w:p>
    <w:bookmarkEnd w:id="29"/>
    <w:bookmarkStart w:id="30" w:name="ce-que-la-grille-a-permis-de-voir"/>
    <w:p>
      <w:pPr>
        <w:pStyle w:val="Heading2"/>
      </w:pPr>
      <w:r>
        <w:t xml:space="preserve">6. Ce que la grille a permis de voir</w:t>
      </w:r>
    </w:p>
    <w:p>
      <w:pPr>
        <w:pStyle w:val="FirstParagraph"/>
      </w:pPr>
      <w:r>
        <w:t xml:space="preserve">La grille a produit quatre résultats méthodologiques.</w:t>
      </w:r>
    </w:p>
    <w:p>
      <w:pPr>
        <w:pStyle w:val="BodyText"/>
      </w:pPr>
      <w:r>
        <w:t xml:space="preserve">Premièrement, une constante n’est pas toujours un objet simple. Elle peut être un rapport, une valeur de référence, un paramètre de théorie, une grandeur effective ou une échelle dynamique.</w:t>
      </w:r>
    </w:p>
    <w:p>
      <w:pPr>
        <w:pStyle w:val="BodyText"/>
      </w:pPr>
      <w:r>
        <w:t xml:space="preserve">Deuxièmement, la stabilité observationnelle ne suffit pas à définir le statut d’une constante. Une grandeur peut être très stable dans les observations disponibles tout en dépendant d’un régime de mesure, d’un régime d’énergie ou d’un cadre théorique.</w:t>
      </w:r>
    </w:p>
    <w:p>
      <w:pPr>
        <w:pStyle w:val="BodyText"/>
      </w:pPr>
      <w:r>
        <w:t xml:space="preserve">Troisièmement, les rapports sans dimension sont méthodologiquement privilégiés, mais ils ne sont pas forcément théoriquement élémentaires. Le cas (m_p/m_e) le montre clairement : la grandeur est sans dimension, mais elle condense deux régimes physiques distincts.</w:t>
      </w:r>
    </w:p>
    <w:p>
      <w:pPr>
        <w:pStyle w:val="BodyText"/>
      </w:pPr>
      <w:r>
        <w:t xml:space="preserve">Quatrièmement, la dépendance d’échelle oblige à enrichir la notion de constance. Avec (</w:t>
      </w:r>
      <w:r>
        <w:t xml:space="preserve">_s), la question n’est pas de choisir entre</w:t>
      </w:r>
      <w:r>
        <w:t xml:space="preserve"> </w:t>
      </w:r>
      <w:r>
        <w:t xml:space="preserve">“constant”</w:t>
      </w:r>
      <w:r>
        <w:t xml:space="preserve"> </w:t>
      </w:r>
      <w:r>
        <w:t xml:space="preserve">et</w:t>
      </w:r>
      <w:r>
        <w:t xml:space="preserve"> </w:t>
      </w:r>
      <w:r>
        <w:t xml:space="preserve">“variable”</w:t>
      </w:r>
      <w:r>
        <w:t xml:space="preserve">, mais de préciser l’échelle, le schéma, le régime et la procédure de comparaison.</w:t>
      </w:r>
    </w:p>
    <w:bookmarkEnd w:id="30"/>
    <w:bookmarkStart w:id="31" w:name="X3cc80b0995c972fc0839d638af38143abcff371"/>
    <w:p>
      <w:pPr>
        <w:pStyle w:val="Heading2"/>
      </w:pPr>
      <w:r>
        <w:t xml:space="preserve">7. Formulation consolidée après premier cycle</w:t>
      </w:r>
    </w:p>
    <w:p>
      <w:pPr>
        <w:pStyle w:val="FirstParagraph"/>
      </w:pPr>
      <w:r>
        <w:t xml:space="preserve">À ce stade, on peut reformuler l’orientation générale de l’enquête ainsi :</w:t>
      </w:r>
    </w:p>
    <w:p>
      <w:pPr>
        <w:pStyle w:val="BodyText"/>
      </w:pPr>
      <w:r>
        <w:rPr>
          <w:b/>
          <w:bCs/>
        </w:rPr>
        <w:t xml:space="preserve">Une constante effective stabilisée est une grandeur traitée comme constante dans un domaine physique donné parce qu’un régime de mesure, d’énergie, de symétrie ou de dynamique rend sa définition robuste et sa valeur comparable.</w:t>
      </w:r>
    </w:p>
    <w:p>
      <w:pPr>
        <w:pStyle w:val="BodyText"/>
      </w:pPr>
      <w:r>
        <w:t xml:space="preserve">Cette définition est volontairement minimale. Elle ne remplace pas les définitions physiques existantes. Elle sert à classer les conditions de constance.</w:t>
      </w:r>
    </w:p>
    <w:p>
      <w:pPr>
        <w:pStyle w:val="BodyText"/>
      </w:pPr>
      <w:r>
        <w:t xml:space="preserve">Elle permet aussi de préciser le rôle du mot</w:t>
      </w:r>
      <w:r>
        <w:t xml:space="preserve"> </w:t>
      </w:r>
      <w:r>
        <w:t xml:space="preserve">“régime”</w:t>
      </w:r>
      <w:r>
        <w:t xml:space="preserve">. Un régime n’est pas seulement un contexte vague. C’est une configuration physique identifiable : électromagnétisme basse énergie, brisure électrofaible, confinement QCD, domaine perturbatif, domaine non perturbatif, structure atomique, procédure métrologique, ou échelle de renormalisation.</w:t>
      </w:r>
    </w:p>
    <w:bookmarkEnd w:id="31"/>
    <w:bookmarkStart w:id="32" w:name="première-carte-conceptuelle"/>
    <w:p>
      <w:pPr>
        <w:pStyle w:val="Heading2"/>
      </w:pPr>
      <w:r>
        <w:t xml:space="preserve">8. Première carte conceptuelle</w:t>
      </w:r>
    </w:p>
    <w:p>
      <w:pPr>
        <w:pStyle w:val="FirstParagraph"/>
      </w:pPr>
      <w:r>
        <w:t xml:space="preserve">Le premier cycle fait apparaître quatre axes de classement :</w:t>
      </w:r>
    </w:p>
    <w:p>
      <w:pPr>
        <w:pStyle w:val="BodyText"/>
      </w:pPr>
      <w:r>
        <w:rPr>
          <w:b/>
          <w:bCs/>
        </w:rPr>
        <w:t xml:space="preserve">Axe 1 : dimensionnel / sans dimension</w:t>
      </w:r>
      <w:r>
        <w:br/>
      </w:r>
      <w:r>
        <w:t xml:space="preserve">(</w:t>
      </w:r>
      <w:r>
        <w:t xml:space="preserve">) et (m_p/m_e) sont sans dimension. (m_e) et (</w:t>
      </w:r>
      <w:r>
        <w:t xml:space="preserve">_{</w:t>
      </w:r>
      <w:r>
        <w:t xml:space="preserve">}) sont dimensionnés. Cet axe détermine la robustesse métrologique de la grandeur.</w:t>
      </w:r>
    </w:p>
    <w:p>
      <w:pPr>
        <w:pStyle w:val="BodyText"/>
      </w:pPr>
      <w:r>
        <w:rPr>
          <w:b/>
          <w:bCs/>
        </w:rPr>
        <w:t xml:space="preserve">Axe 2 : simple / stratifié</w:t>
      </w:r>
      <w:r>
        <w:br/>
      </w:r>
      <w:r>
        <w:t xml:space="preserve">(</w:t>
      </w:r>
      <w:r>
        <w:t xml:space="preserve">) est relativement simple comme rapport électromagnétique, même si son statut varie selon l’échelle. (m_p/m_e) est stratifié, car il combine électrofaible et QCD.</w:t>
      </w:r>
    </w:p>
    <w:p>
      <w:pPr>
        <w:pStyle w:val="BodyText"/>
      </w:pPr>
      <w:r>
        <w:rPr>
          <w:b/>
          <w:bCs/>
        </w:rPr>
        <w:t xml:space="preserve">Axe 3 : valeur / régime</w:t>
      </w:r>
      <w:r>
        <w:br/>
      </w:r>
      <w:r>
        <w:t xml:space="preserve">Certaines grandeurs sont d’abord saisies comme valeurs mesurées. D’autres exigent immédiatement un régime pour être comprises. (</w:t>
      </w:r>
      <w:r>
        <w:t xml:space="preserve">_s) appartient clairement à cette deuxième famille.</w:t>
      </w:r>
    </w:p>
    <w:p>
      <w:pPr>
        <w:pStyle w:val="BodyText"/>
      </w:pPr>
      <w:r>
        <w:rPr>
          <w:b/>
          <w:bCs/>
        </w:rPr>
        <w:t xml:space="preserve">Axe 4 : stabilité / dépendance d’échelle</w:t>
      </w:r>
      <w:r>
        <w:br/>
      </w:r>
      <w:r>
        <w:t xml:space="preserve">Une grandeur peut être stable dans le temps tout en dépendant de l’échelle. Ce point doit devenir un garde-fou technique permanent de l’enquête.</w:t>
      </w:r>
    </w:p>
    <w:bookmarkEnd w:id="32"/>
    <w:bookmarkStart w:id="33" w:name="portée-et-limite-du-premier-cycle"/>
    <w:p>
      <w:pPr>
        <w:pStyle w:val="Heading2"/>
      </w:pPr>
      <w:r>
        <w:t xml:space="preserve">9. Portée et limite du premier cycle</w:t>
      </w:r>
    </w:p>
    <w:p>
      <w:pPr>
        <w:pStyle w:val="FirstParagraph"/>
      </w:pPr>
      <w:r>
        <w:t xml:space="preserve">La portée du premier cycle est réelle mais limitée.</w:t>
      </w:r>
    </w:p>
    <w:p>
      <w:pPr>
        <w:pStyle w:val="BodyText"/>
      </w:pPr>
      <w:r>
        <w:t xml:space="preserve">Elle est réelle parce que les quatre cas ne forcent pas la grille. Chacun apporte une différence de statut identifiable. La notion de constante effective stabilisée ne reste donc pas un slogan ; elle commence à fonctionner comme instrument de classement.</w:t>
      </w:r>
    </w:p>
    <w:p>
      <w:pPr>
        <w:pStyle w:val="BodyText"/>
      </w:pPr>
      <w:r>
        <w:t xml:space="preserve">Elle est limitée parce que le corpus reste centré sur le Modèle standard basse énergie, QED, QCD et le secteur électrofaible. Les constantes gravitationnelles, cosmologiques et thermodynamiques n’ont pas encore été intégrées. Les cas plus risqués devront être abordés plus tard, après consolidation de la méthode.</w:t>
      </w:r>
    </w:p>
    <w:p>
      <w:pPr>
        <w:pStyle w:val="BodyText"/>
      </w:pPr>
      <w:r>
        <w:t xml:space="preserve">Le premier cycle ne prouve donc pas une thèse générale. Il établit une possibilité de travail : les constantes peuvent être cartographiées selon les régimes qui rendent leur constance pertinente.</w:t>
      </w:r>
    </w:p>
    <w:bookmarkEnd w:id="33"/>
    <w:bookmarkStart w:id="34" w:name="prochaine-étape"/>
    <w:p>
      <w:pPr>
        <w:pStyle w:val="Heading2"/>
      </w:pPr>
      <w:r>
        <w:t xml:space="preserve">10. Prochaine étape</w:t>
      </w:r>
    </w:p>
    <w:p>
      <w:pPr>
        <w:pStyle w:val="FirstParagraph"/>
      </w:pPr>
      <w:r>
        <w:t xml:space="preserve">La prochaine étape logique est d’ouvrir un second cycle centré sur les grandeurs qui structurent directement les régimes déjà rencontrés.</w:t>
      </w:r>
    </w:p>
    <w:p>
      <w:pPr>
        <w:pStyle w:val="BodyText"/>
      </w:pPr>
      <w:r>
        <w:t xml:space="preserve">Le premier candidat est :</w:t>
      </w:r>
    </w:p>
    <w:p>
      <w:pPr>
        <w:pStyle w:val="BodyText"/>
      </w:pPr>
      <w:r>
        <w:t xml:space="preserve">[</w:t>
      </w:r>
      <w:r>
        <w:t xml:space="preserve"> </w:t>
      </w:r>
      <w:r>
        <w:t xml:space="preserve">v</w:t>
      </w:r>
      <w:r>
        <w:t xml:space="preserve"> </w:t>
      </w:r>
      <w:r>
        <w:t xml:space="preserve">]</w:t>
      </w:r>
    </w:p>
    <w:p>
      <w:pPr>
        <w:pStyle w:val="BodyText"/>
      </w:pPr>
      <w:r>
        <w:t xml:space="preserve">la valeur moyenne du champ de Higgs dans le vide.</w:t>
      </w:r>
    </w:p>
    <w:p>
      <w:pPr>
        <w:pStyle w:val="BodyText"/>
      </w:pPr>
      <w:r>
        <w:t xml:space="preserve">Ce cas est stratégique, parce qu’il se trouve en amont de la fiche (m_e). La masse de l’électron a déjà montré la dépendance au régime électrofaible brisé ; la fiche (v) permettrait d’étudier directement la grandeur qui stabilise ce régime dans le Modèle standard.</w:t>
      </w:r>
    </w:p>
    <w:p>
      <w:pPr>
        <w:pStyle w:val="BodyText"/>
      </w:pPr>
      <w:r>
        <w:t xml:space="preserve">Le second cycle pourrait ensuite traiter les couplages de Yukawa, puis les constantes gravitationnelles formulées sous forme de rapports sans dimension. La constante cosmologique devra être abordée plus tard, lorsque la typologie sera suffisamment robuste.</w:t>
      </w:r>
    </w:p>
    <w:bookmarkEnd w:id="34"/>
    <w:bookmarkStart w:id="35" w:name="formule-de-travail-après-premier-cycle"/>
    <w:p>
      <w:pPr>
        <w:pStyle w:val="Heading2"/>
      </w:pPr>
      <w:r>
        <w:t xml:space="preserve">11. Formule de travail après premier cycle</w:t>
      </w:r>
    </w:p>
    <w:p>
      <w:pPr>
        <w:pStyle w:val="FirstParagraph"/>
      </w:pPr>
      <w:r>
        <w:t xml:space="preserve">La formule de travail issue du premier cycle est la suivante :</w:t>
      </w:r>
    </w:p>
    <w:p>
      <w:pPr>
        <w:pStyle w:val="BodyText"/>
      </w:pPr>
      <w:r>
        <w:rPr>
          <w:b/>
          <w:bCs/>
        </w:rPr>
        <w:t xml:space="preserve">La constance d’une grandeur physique n’est pas seulement la permanence d’une valeur ; elle peut être la robustesse d’une relation dans un régime physique stabilisé.</w:t>
      </w:r>
    </w:p>
    <w:p>
      <w:pPr>
        <w:pStyle w:val="BodyText"/>
      </w:pPr>
      <w:r>
        <w:t xml:space="preserve">Cette formule marque le passage d’une interrogation sur les constantes prises isolément à une cartographie des régimes de constance.</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2026-07-08T17:29:28Z</dcterms:created>
  <dcterms:modified xsi:type="dcterms:W3CDTF">2026-07-08T17:29:28Z</dcterms:modified>
</cp:coreProperties>
</file>

<file path=docProps/custom.xml><?xml version="1.0" encoding="utf-8"?>
<Properties xmlns="http://schemas.openxmlformats.org/officeDocument/2006/custom-properties" xmlns:vt="http://schemas.openxmlformats.org/officeDocument/2006/docPropsVTypes"/>
</file>