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synthèse-du-second-cycle-v0.1"/>
    <w:p>
      <w:pPr>
        <w:pStyle w:val="Heading1"/>
      </w:pPr>
      <w:r>
        <w:t xml:space="preserve">Synthèse du second cycle v0.1</w:t>
      </w:r>
    </w:p>
    <w:bookmarkStart w:id="20" w:name="X4317494c7a5336855a22fd9fdda0076239f17d6"/>
    <w:p>
      <w:pPr>
        <w:pStyle w:val="Heading2"/>
      </w:pPr>
      <w:r>
        <w:t xml:space="preserve">Constantes structurantes, raccordements effectifs et cas-limite cosmologique</w:t>
      </w:r>
    </w:p>
    <w:bookmarkEnd w:id="20"/>
    <w:bookmarkStart w:id="21" w:name="fonction-de-cette-synthèse"/>
    <w:p>
      <w:pPr>
        <w:pStyle w:val="Heading2"/>
      </w:pPr>
      <w:r>
        <w:t xml:space="preserve">1. Fonction de cette synthèse</w:t>
      </w:r>
    </w:p>
    <w:p>
      <w:pPr>
        <w:pStyle w:val="FirstParagraph"/>
      </w:pPr>
      <w:r>
        <w:t xml:space="preserve">Le second cycle a porté sur des grandeurs plus structurantes que celles du premier cycle : (v), les couplages de Yukawa, (</w:t>
      </w:r>
      <w:r>
        <w:rPr>
          <w:i/>
          <w:iCs/>
        </w:rPr>
        <w:t xml:space="preserve">G / M</w:t>
      </w:r>
      <w:r>
        <w:t xml:space="preserve">{</w:t>
      </w:r>
      <w:r>
        <w:t xml:space="preserve">}), (G_F), (</w:t>
      </w:r>
      <w:r>
        <w:t xml:space="preserve">_W), puis (</w:t>
      </w:r>
      <w:r>
        <w:t xml:space="preserve">).</w:t>
      </w:r>
    </w:p>
    <w:p>
      <w:pPr>
        <w:pStyle w:val="BodyText"/>
      </w:pPr>
      <w:r>
        <w:t xml:space="preserve">Ces cas n’ont pas été choisis pour ajouter mécaniquement de nouvelles constantes à une liste. Ils ont été choisis parce qu’ils testent des fonctions différentes de la constance : structuration d’un régime, différenciation interne, hiérarchie d’échelle, raccordement effectif, mélange de jauge et fond cosmologique.</w:t>
      </w:r>
    </w:p>
    <w:p>
      <w:pPr>
        <w:pStyle w:val="BodyText"/>
      </w:pPr>
      <w:r>
        <w:t xml:space="preserve">Le second cycle confirme que la notion de constante effective stabilisée ne doit pas être comprise comme une catégorie unique. Elle désigne plutôt une famille de fonctions : certaines constantes fixent une échelle, certaines orientent un mélange, certaines raccordent deux descriptions, certaines stabilisent un fond cosmologique, certaines distribuent une échelle commune entre plusieurs particules.</w:t>
      </w:r>
    </w:p>
    <w:bookmarkEnd w:id="21"/>
    <w:bookmarkStart w:id="22" w:name="résultat-général-du-second-cycle"/>
    <w:p>
      <w:pPr>
        <w:pStyle w:val="Heading2"/>
      </w:pPr>
      <w:r>
        <w:t xml:space="preserve">2. Résultat général du second cycle</w:t>
      </w:r>
    </w:p>
    <w:p>
      <w:pPr>
        <w:pStyle w:val="FirstParagraph"/>
      </w:pPr>
      <w:r>
        <w:t xml:space="preserve">Le second cycle déplace l’enquête.</w:t>
      </w:r>
    </w:p>
    <w:p>
      <w:pPr>
        <w:pStyle w:val="BodyText"/>
      </w:pPr>
      <w:r>
        <w:t xml:space="preserve">Le premier cycle avait surtout montré que les constantes peuvent dépendre d’un régime de mesure, d’énergie, de symétrie ou de confinement.</w:t>
      </w:r>
    </w:p>
    <w:p>
      <w:pPr>
        <w:pStyle w:val="BodyText"/>
      </w:pPr>
      <w:r>
        <w:t xml:space="preserve">Le second cycle montre autre chose : certaines constantes ne sont pas seulement définies dans un régime ; elles participent à l’organisation de ce régime.</w:t>
      </w:r>
    </w:p>
    <w:p>
      <w:pPr>
        <w:pStyle w:val="BodyText"/>
      </w:pPr>
      <w:r>
        <w:t xml:space="preserve">La question devient donc :</w:t>
      </w:r>
    </w:p>
    <w:p>
      <w:pPr>
        <w:pStyle w:val="BodyText"/>
      </w:pPr>
      <w:r>
        <w:rPr>
          <w:b/>
          <w:bCs/>
        </w:rPr>
        <w:t xml:space="preserve">quelle fonction structurante une constante exerce-t-elle dans le régime où elle est traitée comme stable ?</w:t>
      </w:r>
    </w:p>
    <w:p>
      <w:pPr>
        <w:pStyle w:val="BodyText"/>
      </w:pPr>
      <w:r>
        <w:t xml:space="preserve">Cette formulation permet d’éviter une vision trop plate. Une constante n’est pas seulement une valeur tenue fixe dans une équation. Elle peut être une échelle commune, un profil différentiel, un coefficient effectif, un angle de mélange, une hiérarchie d’échelle ou un terme de fond cosmologique.</w:t>
      </w:r>
    </w:p>
    <w:bookmarkEnd w:id="22"/>
    <w:bookmarkStart w:id="29" w:name="les-catégories-issues-du-second-cycle"/>
    <w:p>
      <w:pPr>
        <w:pStyle w:val="Heading2"/>
      </w:pPr>
      <w:r>
        <w:t xml:space="preserve">3. Les catégories issues du second cycle</w:t>
      </w:r>
    </w:p>
    <w:bookmarkStart w:id="23" w:name="v-constante-de-régime-générateur"/>
    <w:p>
      <w:pPr>
        <w:pStyle w:val="Heading3"/>
      </w:pPr>
      <w:r>
        <w:t xml:space="preserve">3.1 (v) : constante de régime générateur</w:t>
      </w:r>
    </w:p>
    <w:p>
      <w:pPr>
        <w:pStyle w:val="FirstParagraph"/>
      </w:pPr>
      <w:r>
        <w:t xml:space="preserve">La valeur moyenne du champ de Higgs (v) fixe l’échelle électrofaible basse énergie. Elle intervient dans les masses des bosons (W) et (Z), ainsi que dans les masses fermioniques via les couplages de Yukawa.</w:t>
      </w:r>
    </w:p>
    <w:p>
      <w:pPr>
        <w:pStyle w:val="BodyText"/>
      </w:pPr>
      <w:r>
        <w:t xml:space="preserve">Son statut est particulier : (v) ne se contente pas d’être définie dans le régime électrofaible brisé. Elle contribue à rendre ce régime physiquement organisé.</w:t>
      </w:r>
    </w:p>
    <w:p>
      <w:pPr>
        <w:pStyle w:val="BodyText"/>
      </w:pPr>
      <w:r>
        <w:t xml:space="preserve">Catégorie proposée :</w:t>
      </w:r>
    </w:p>
    <w:p>
      <w:pPr>
        <w:pStyle w:val="BodyText"/>
      </w:pPr>
      <w:r>
        <w:rPr>
          <w:b/>
          <w:bCs/>
        </w:rPr>
        <w:t xml:space="preserve">constante de régime générateur.</w:t>
      </w:r>
    </w:p>
    <w:p>
      <w:pPr>
        <w:pStyle w:val="BodyText"/>
      </w:pPr>
      <w:r>
        <w:t xml:space="preserve">Définition provisoire : grandeur stabilisée qui fixe une échelle commune à partir de laquelle plusieurs masses, couplages ou structures deviennent lisibles dans un régime physique donné.</w:t>
      </w:r>
    </w:p>
    <w:bookmarkEnd w:id="23"/>
    <w:bookmarkStart w:id="24" w:name="Xd975d51d339eb620d001012067f9b4f3594dac2"/>
    <w:p>
      <w:pPr>
        <w:pStyle w:val="Heading3"/>
      </w:pPr>
      <w:r>
        <w:t xml:space="preserve">3.2 Yukawa : constantes de différenciation fermionique</w:t>
      </w:r>
    </w:p>
    <w:p>
      <w:pPr>
        <w:pStyle w:val="FirstParagraph"/>
      </w:pPr>
      <w:r>
        <w:t xml:space="preserve">Les couplages de Yukawa sont des paramètres sans dimension. Ils déterminent comment l’échelle commune (v) se distribue entre les fermions chargés et les quarks.</w:t>
      </w:r>
    </w:p>
    <w:p>
      <w:pPr>
        <w:pStyle w:val="BodyText"/>
      </w:pPr>
      <w:r>
        <w:t xml:space="preserve">Ils ne fixent pas l’échelle générale du régime électrofaible ; ils différencient cette échelle selon les familles de particules.</w:t>
      </w:r>
    </w:p>
    <w:p>
      <w:pPr>
        <w:pStyle w:val="BodyText"/>
      </w:pPr>
      <w:r>
        <w:t xml:space="preserve">Catégorie proposée :</w:t>
      </w:r>
    </w:p>
    <w:p>
      <w:pPr>
        <w:pStyle w:val="BodyText"/>
      </w:pPr>
      <w:r>
        <w:rPr>
          <w:b/>
          <w:bCs/>
        </w:rPr>
        <w:t xml:space="preserve">constantes de différenciation fermionique.</w:t>
      </w:r>
    </w:p>
    <w:p>
      <w:pPr>
        <w:pStyle w:val="BodyText"/>
      </w:pPr>
      <w:r>
        <w:t xml:space="preserve">Définition provisoire : paramètres sans dimension qui configurent la distribution interne d’un régime physique, en transformant une échelle commune en hiérarchie de masses ou de couplages.</w:t>
      </w:r>
    </w:p>
    <w:bookmarkEnd w:id="24"/>
    <w:bookmarkStart w:id="25" w:name="g-m-constante-de-hiérarchie-déchelle"/>
    <w:p>
      <w:pPr>
        <w:pStyle w:val="Heading3"/>
      </w:pPr>
      <w:r>
        <w:t xml:space="preserve">3.3 (</w:t>
      </w:r>
      <w:r>
        <w:rPr>
          <w:i/>
          <w:iCs/>
        </w:rPr>
        <w:t xml:space="preserve">G / M</w:t>
      </w:r>
      <w:r>
        <w:t xml:space="preserve">{</w:t>
      </w:r>
      <w:r>
        <w:t xml:space="preserve">}) : constante de hiérarchie d’échelle</w:t>
      </w:r>
    </w:p>
    <w:p>
      <w:pPr>
        <w:pStyle w:val="FirstParagraph"/>
      </w:pPr>
      <w:r>
        <w:t xml:space="preserve">La gravitation impose de reformuler (G) à travers des combinaisons sans dimension, par exemple :</w:t>
      </w:r>
    </w:p>
    <w:p>
      <w:pPr>
        <w:pStyle w:val="BodyText"/>
      </w:pPr>
      <w:r>
        <w:t xml:space="preserve">[</w:t>
      </w:r>
      <w:r>
        <w:t xml:space="preserve"> </w:t>
      </w:r>
      <w:r>
        <w:t xml:space="preserve">_G(m)=</w:t>
      </w:r>
      <w:r>
        <w:t xml:space="preserve"> </w:t>
      </w:r>
      <w:r>
        <w:t xml:space="preserve">]</w:t>
      </w:r>
    </w:p>
    <w:p>
      <w:pPr>
        <w:pStyle w:val="BodyText"/>
      </w:pPr>
      <w:r>
        <w:t xml:space="preserve">ou :</w:t>
      </w:r>
    </w:p>
    <w:p>
      <w:pPr>
        <w:pStyle w:val="BodyText"/>
      </w:pPr>
      <w:r>
        <w:t xml:space="preserve">[</w:t>
      </w:r>
      <w:r>
        <w:t xml:space="preserve"> </w:t>
      </w:r>
      <w:r>
        <w:t xml:space="preserve">_G(E)</w:t>
      </w:r>
      <w:r>
        <w:t xml:space="preserve">(</w:t>
      </w:r>
      <w:r>
        <w:t xml:space="preserve">)^2</w:t>
      </w:r>
      <w:r>
        <w:t xml:space="preserve"> </w:t>
      </w:r>
      <w:r>
        <w:t xml:space="preserve">]</w:t>
      </w:r>
    </w:p>
    <w:p>
      <w:pPr>
        <w:pStyle w:val="BodyText"/>
      </w:pPr>
      <w:r>
        <w:t xml:space="preserve">Le contenu physique ne se trouve pas dans (G) isolé, mais dans le rapport entre une masse ou une énergie et l’échelle de Planck.</w:t>
      </w:r>
    </w:p>
    <w:p>
      <w:pPr>
        <w:pStyle w:val="BodyText"/>
      </w:pPr>
      <w:r>
        <w:t xml:space="preserve">Catégorie proposée :</w:t>
      </w:r>
    </w:p>
    <w:p>
      <w:pPr>
        <w:pStyle w:val="BodyText"/>
      </w:pPr>
      <w:r>
        <w:rPr>
          <w:b/>
          <w:bCs/>
        </w:rPr>
        <w:t xml:space="preserve">constante de hiérarchie d’échelle.</w:t>
      </w:r>
    </w:p>
    <w:p>
      <w:pPr>
        <w:pStyle w:val="BodyText"/>
      </w:pPr>
      <w:r>
        <w:t xml:space="preserve">Définition provisoire : grandeur dont le statut de constance dépend d’un écart structurel entre l’échelle du régime étudié et une échelle de référence plus profonde.</w:t>
      </w:r>
    </w:p>
    <w:bookmarkEnd w:id="25"/>
    <w:bookmarkStart w:id="26" w:name="g_f-constante-de-raccordement-effectif"/>
    <w:p>
      <w:pPr>
        <w:pStyle w:val="Heading3"/>
      </w:pPr>
      <w:r>
        <w:t xml:space="preserve">3.4 (G_F) : constante de raccordement effectif</w:t>
      </w:r>
    </w:p>
    <w:p>
      <w:pPr>
        <w:pStyle w:val="FirstParagraph"/>
      </w:pPr>
      <w:r>
        <w:t xml:space="preserve">La constante de Fermi (G_F) est un coefficient effectif de basse énergie. Elle décrit l’interaction faible à quatre fermions lorsque les énergies sont très inférieures à la masse du boson (W).</w:t>
      </w:r>
    </w:p>
    <w:p>
      <w:pPr>
        <w:pStyle w:val="BodyText"/>
      </w:pPr>
      <w:r>
        <w:t xml:space="preserve">Elle est extrêmement précise et opératoire, mais son statut complet dépend du raccordement avec la théorie électrofaible où les bosons médiateurs sont explicitement présents.</w:t>
      </w:r>
    </w:p>
    <w:p>
      <w:pPr>
        <w:pStyle w:val="BodyText"/>
      </w:pPr>
      <w:r>
        <w:t xml:space="preserve">Catégorie proposée :</w:t>
      </w:r>
    </w:p>
    <w:p>
      <w:pPr>
        <w:pStyle w:val="BodyText"/>
      </w:pPr>
      <w:r>
        <w:rPr>
          <w:b/>
          <w:bCs/>
        </w:rPr>
        <w:t xml:space="preserve">constante de raccordement effectif.</w:t>
      </w:r>
    </w:p>
    <w:p>
      <w:pPr>
        <w:pStyle w:val="BodyText"/>
      </w:pPr>
      <w:r>
        <w:t xml:space="preserve">Définition provisoire : grandeur stable dans une description basse énergie, mais dont le statut physique complet dépend d’une théorie plus explicite valable à plus haute énergie.</w:t>
      </w:r>
    </w:p>
    <w:bookmarkEnd w:id="26"/>
    <w:bookmarkStart w:id="27" w:name="w-constante-de-mélange-de-jauge"/>
    <w:p>
      <w:pPr>
        <w:pStyle w:val="Heading3"/>
      </w:pPr>
      <w:r>
        <w:t xml:space="preserve">3.5 (</w:t>
      </w:r>
      <w:r>
        <w:t xml:space="preserve">_W) : constante de mélange de jauge</w:t>
      </w:r>
    </w:p>
    <w:p>
      <w:pPr>
        <w:pStyle w:val="FirstParagraph"/>
      </w:pPr>
      <w:r>
        <w:t xml:space="preserve">L’angle faible (</w:t>
      </w:r>
      <w:r>
        <w:rPr>
          <w:i/>
          <w:iCs/>
        </w:rPr>
        <w:t xml:space="preserve">W) caractérise le mélange entre les champs neutres (B</w:t>
      </w:r>
      <w:r>
        <w:t xml:space="preserve">) et (W^3_</w:t>
      </w:r>
      <w:r>
        <w:t xml:space="preserve">), donnant le photon (A_</w:t>
      </w:r>
      <w:r>
        <w:t xml:space="preserve">) et le boson (Z_</w:t>
      </w:r>
      <w:r>
        <w:t xml:space="preserve">).</w:t>
      </w:r>
    </w:p>
    <w:p>
      <w:pPr>
        <w:pStyle w:val="BodyText"/>
      </w:pPr>
      <w:r>
        <w:t xml:space="preserve">Il ne mesure pas seulement une intensité. Il fixe une orientation structurelle entre deux secteurs de jauge.</w:t>
      </w:r>
    </w:p>
    <w:p>
      <w:pPr>
        <w:pStyle w:val="BodyText"/>
      </w:pPr>
      <w:r>
        <w:t xml:space="preserve">Catégorie proposée :</w:t>
      </w:r>
    </w:p>
    <w:p>
      <w:pPr>
        <w:pStyle w:val="BodyText"/>
      </w:pPr>
      <w:r>
        <w:rPr>
          <w:b/>
          <w:bCs/>
        </w:rPr>
        <w:t xml:space="preserve">constante de mélange de jauge.</w:t>
      </w:r>
    </w:p>
    <w:p>
      <w:pPr>
        <w:pStyle w:val="BodyText"/>
      </w:pPr>
      <w:r>
        <w:t xml:space="preserve">Définition provisoire : paramètre sans dimension qui stabilise une orientation entre champs, couplages ou secteurs de symétrie, et dont la valeur dépend du schéma, de l’échelle ou de l’observable utilisée.</w:t>
      </w:r>
    </w:p>
    <w:bookmarkEnd w:id="27"/>
    <w:bookmarkStart w:id="28" w:name="constante-de-fond-cosmologique"/>
    <w:p>
      <w:pPr>
        <w:pStyle w:val="Heading3"/>
      </w:pPr>
      <w:r>
        <w:t xml:space="preserve">3.6 (</w:t>
      </w:r>
      <w:r>
        <w:t xml:space="preserve">) : constante de fond cosmologique</w:t>
      </w:r>
    </w:p>
    <w:p>
      <w:pPr>
        <w:pStyle w:val="FirstParagraph"/>
      </w:pPr>
      <w:r>
        <w:t xml:space="preserve">La constante cosmologique (</w:t>
      </w:r>
      <w:r>
        <w:t xml:space="preserve">) est un terme de fond dans la dynamique globale de l’espace-temps. Elle peut être lue comme terme géométrique, densité d’énergie effective, paramètre cosmologique ou problème de raccordement avec la physique du vide.</w:t>
      </w:r>
    </w:p>
    <w:p>
      <w:pPr>
        <w:pStyle w:val="BodyText"/>
      </w:pPr>
      <w:r>
        <w:t xml:space="preserve">Elle est le cas le plus fragile du cycle, parce qu’elle est empiriquement puissante, théoriquement problématique et interprétativement ouverte.</w:t>
      </w:r>
    </w:p>
    <w:p>
      <w:pPr>
        <w:pStyle w:val="BodyText"/>
      </w:pPr>
      <w:r>
        <w:t xml:space="preserve">Catégorie proposée :</w:t>
      </w:r>
    </w:p>
    <w:p>
      <w:pPr>
        <w:pStyle w:val="BodyText"/>
      </w:pPr>
      <w:r>
        <w:rPr>
          <w:b/>
          <w:bCs/>
        </w:rPr>
        <w:t xml:space="preserve">constante de fond cosmologique.</w:t>
      </w:r>
    </w:p>
    <w:p>
      <w:pPr>
        <w:pStyle w:val="BodyText"/>
      </w:pPr>
      <w:r>
        <w:t xml:space="preserve">Définition provisoire : grandeur uniforme associée à la dynamique globale de l’espace-temps, dont la constance se lit dans l’évolution cosmologique plutôt que dans une interaction locale.</w:t>
      </w:r>
    </w:p>
    <w:bookmarkEnd w:id="28"/>
    <w:bookmarkEnd w:id="29"/>
    <w:bookmarkStart w:id="30" w:name="typologie-provisoire-du-second-cycle"/>
    <w:p>
      <w:pPr>
        <w:pStyle w:val="Heading2"/>
      </w:pPr>
      <w:r>
        <w:t xml:space="preserve">4. Typologie provisoire du second 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Cas</w:t>
            </w:r>
          </w:p>
        </w:tc>
        <w:tc>
          <w:tcPr/>
          <w:p>
            <w:pPr>
              <w:pStyle w:val="Compact"/>
            </w:pPr>
            <w:r>
              <w:t xml:space="preserve">Catégorie</w:t>
            </w:r>
          </w:p>
        </w:tc>
        <w:tc>
          <w:tcPr/>
          <w:p>
            <w:pPr>
              <w:pStyle w:val="Compact"/>
            </w:pPr>
            <w:r>
              <w:t xml:space="preserve">Fonction principale</w:t>
            </w:r>
          </w:p>
        </w:tc>
      </w:tr>
      <w:tr>
        <w:tc>
          <w:tcPr/>
          <w:p>
            <w:pPr>
              <w:pStyle w:val="Compact"/>
            </w:pPr>
            <w:r>
              <w:t xml:space="preserve">(v)</w:t>
            </w:r>
          </w:p>
        </w:tc>
        <w:tc>
          <w:tcPr/>
          <w:p>
            <w:pPr>
              <w:pStyle w:val="Compact"/>
            </w:pPr>
            <w:r>
              <w:t xml:space="preserve">Constante de régime générateur</w:t>
            </w:r>
          </w:p>
        </w:tc>
        <w:tc>
          <w:tcPr/>
          <w:p>
            <w:pPr>
              <w:pStyle w:val="Compact"/>
            </w:pPr>
            <w:r>
              <w:t xml:space="preserve">Fixe l’échelle électrofaible commune</w:t>
            </w:r>
          </w:p>
        </w:tc>
      </w:tr>
      <w:tr>
        <w:tc>
          <w:tcPr/>
          <w:p>
            <w:pPr>
              <w:pStyle w:val="Compact"/>
            </w:pPr>
            <w:r>
              <w:t xml:space="preserve">Yukawa</w:t>
            </w:r>
          </w:p>
        </w:tc>
        <w:tc>
          <w:tcPr/>
          <w:p>
            <w:pPr>
              <w:pStyle w:val="Compact"/>
            </w:pPr>
            <w:r>
              <w:t xml:space="preserve">Constantes de différenciation fermionique</w:t>
            </w:r>
          </w:p>
        </w:tc>
        <w:tc>
          <w:tcPr/>
          <w:p>
            <w:pPr>
              <w:pStyle w:val="Compact"/>
            </w:pPr>
            <w:r>
              <w:t xml:space="preserve">Distribuent l’échelle électrofaible entre les fermions</w:t>
            </w:r>
          </w:p>
        </w:tc>
      </w:tr>
      <w:tr>
        <w:tc>
          <w:tcPr/>
          <w:p>
            <w:pPr>
              <w:pStyle w:val="Compact"/>
            </w:pPr>
            <w:r>
              <w:t xml:space="preserve">(</w:t>
            </w:r>
            <w:r>
              <w:rPr>
                <w:i/>
                <w:iCs/>
              </w:rPr>
              <w:t xml:space="preserve">G / M</w:t>
            </w:r>
            <w:r>
              <w:t xml:space="preserve">{</w:t>
            </w:r>
            <w:r>
              <w:t xml:space="preserve">})</w:t>
            </w:r>
          </w:p>
        </w:tc>
        <w:tc>
          <w:tcPr/>
          <w:p>
            <w:pPr>
              <w:pStyle w:val="Compact"/>
            </w:pPr>
            <w:r>
              <w:t xml:space="preserve">Constante de hiérarchie d’échelle</w:t>
            </w:r>
          </w:p>
        </w:tc>
        <w:tc>
          <w:tcPr/>
          <w:p>
            <w:pPr>
              <w:pStyle w:val="Compact"/>
            </w:pPr>
            <w:r>
              <w:t xml:space="preserve">Formule la gravitation par rapport à l’échelle de Planck</w:t>
            </w:r>
          </w:p>
        </w:tc>
      </w:tr>
      <w:tr>
        <w:tc>
          <w:tcPr/>
          <w:p>
            <w:pPr>
              <w:pStyle w:val="Compact"/>
            </w:pPr>
            <w:r>
              <w:t xml:space="preserve">(G_F)</w:t>
            </w:r>
          </w:p>
        </w:tc>
        <w:tc>
          <w:tcPr/>
          <w:p>
            <w:pPr>
              <w:pStyle w:val="Compact"/>
            </w:pPr>
            <w:r>
              <w:t xml:space="preserve">Constante de raccordement effectif</w:t>
            </w:r>
          </w:p>
        </w:tc>
        <w:tc>
          <w:tcPr/>
          <w:p>
            <w:pPr>
              <w:pStyle w:val="Compact"/>
            </w:pPr>
            <w:r>
              <w:t xml:space="preserve">Relie interaction faible basse énergie et théorie électrofaible</w:t>
            </w:r>
          </w:p>
        </w:tc>
      </w:tr>
      <w:tr>
        <w:tc>
          <w:tcPr/>
          <w:p>
            <w:pPr>
              <w:pStyle w:val="Compact"/>
            </w:pPr>
            <w:r>
              <w:t xml:space="preserve">(</w:t>
            </w:r>
            <w:r>
              <w:t xml:space="preserve">_W)</w:t>
            </w:r>
          </w:p>
        </w:tc>
        <w:tc>
          <w:tcPr/>
          <w:p>
            <w:pPr>
              <w:pStyle w:val="Compact"/>
            </w:pPr>
            <w:r>
              <w:t xml:space="preserve">Constante de mélange de jauge</w:t>
            </w:r>
          </w:p>
        </w:tc>
        <w:tc>
          <w:tcPr/>
          <w:p>
            <w:pPr>
              <w:pStyle w:val="Compact"/>
            </w:pPr>
            <w:r>
              <w:t xml:space="preserve">Oriente le mélange des champs neutres électrofaibles</w:t>
            </w:r>
          </w:p>
        </w:tc>
      </w:tr>
      <w:tr>
        <w:tc>
          <w:tcPr/>
          <w:p>
            <w:pPr>
              <w:pStyle w:val="Compact"/>
            </w:pPr>
            <w:r>
              <w:t xml:space="preserve">(</w:t>
            </w:r>
            <w:r>
              <w:t xml:space="preserve">)</w:t>
            </w:r>
          </w:p>
        </w:tc>
        <w:tc>
          <w:tcPr/>
          <w:p>
            <w:pPr>
              <w:pStyle w:val="Compact"/>
            </w:pPr>
            <w:r>
              <w:t xml:space="preserve">Constante de fond cosmologique</w:t>
            </w:r>
          </w:p>
        </w:tc>
        <w:tc>
          <w:tcPr/>
          <w:p>
            <w:pPr>
              <w:pStyle w:val="Compact"/>
            </w:pPr>
            <w:r>
              <w:t xml:space="preserve">Structure la dynamique globale tardive de l’expansion</w:t>
            </w:r>
          </w:p>
        </w:tc>
      </w:tr>
    </w:tbl>
    <w:p>
      <w:pPr>
        <w:pStyle w:val="BodyText"/>
      </w:pPr>
      <w:r>
        <w:t xml:space="preserve">Cette typologie reste provisoire. Elle ne prétend pas être exhaustive. Elle sert à nommer les fonctions distinctes que prennent certaines constantes dans leurs régimes respectifs.</w:t>
      </w:r>
    </w:p>
    <w:bookmarkEnd w:id="30"/>
    <w:bookmarkStart w:id="31" w:name="ce-que-le-second-cycle-a-rendu-visible"/>
    <w:p>
      <w:pPr>
        <w:pStyle w:val="Heading2"/>
      </w:pPr>
      <w:r>
        <w:t xml:space="preserve">5. Ce que le second cycle a rendu visible</w:t>
      </w:r>
    </w:p>
    <w:p>
      <w:pPr>
        <w:pStyle w:val="FirstParagraph"/>
      </w:pPr>
      <w:r>
        <w:t xml:space="preserve">Le second cycle produit cinq résultats méthodologiques.</w:t>
      </w:r>
    </w:p>
    <w:p>
      <w:pPr>
        <w:pStyle w:val="BodyText"/>
      </w:pPr>
      <w:r>
        <w:t xml:space="preserve">Premièrement, certaines constantes sont organisatrices. Elles ne sont pas seulement présentes dans un régime ; elles contribuent à sa structure interne. (v), les Yukawa et (</w:t>
      </w:r>
      <w:r>
        <w:t xml:space="preserve">_W) sont les cas les plus nets.</w:t>
      </w:r>
    </w:p>
    <w:p>
      <w:pPr>
        <w:pStyle w:val="BodyText"/>
      </w:pPr>
      <w:r>
        <w:t xml:space="preserve">Deuxièmement, une constante peut être une trace. (G_F) montre qu’une grandeur très précise peut être la trace basse énergie d’une structure plus complète. Sa stabilité ne signifie pas autonomie fondamentale.</w:t>
      </w:r>
    </w:p>
    <w:p>
      <w:pPr>
        <w:pStyle w:val="BodyText"/>
      </w:pPr>
      <w:r>
        <w:t xml:space="preserve">Troisièmement, une constante peut exprimer une hiérarchie. (</w:t>
      </w:r>
      <w:r>
        <w:rPr>
          <w:i/>
          <w:iCs/>
        </w:rPr>
        <w:t xml:space="preserve">G / M</w:t>
      </w:r>
      <w:r>
        <w:t xml:space="preserve">{</w:t>
      </w:r>
      <w:r>
        <w:t xml:space="preserve">}) montre que la constance gravitationnelle devient plus claire quand elle est formulée comme rapport d’échelle.</w:t>
      </w:r>
    </w:p>
    <w:p>
      <w:pPr>
        <w:pStyle w:val="BodyText"/>
      </w:pPr>
      <w:r>
        <w:t xml:space="preserve">Quatrièmement, une constante peut être globale. (</w:t>
      </w:r>
      <w:r>
        <w:t xml:space="preserve">) montre qu’il existe des constantes dont le domaine principal n’est pas local, mais cosmologique.</w:t>
      </w:r>
    </w:p>
    <w:p>
      <w:pPr>
        <w:pStyle w:val="BodyText"/>
      </w:pPr>
      <w:r>
        <w:t xml:space="preserve">Cinquièmement, une constante peut être méthodologiquement stable tout en restant interprétativement ouverte. (</w:t>
      </w:r>
      <w:r>
        <w:t xml:space="preserve">) est ici le cas majeur : son efficacité dans le modèle ne supprime pas la difficulté de son interprétation physique.</w:t>
      </w:r>
    </w:p>
    <w:bookmarkEnd w:id="31"/>
    <w:bookmarkStart w:id="32" w:name="définition-enrichie-après-second-cycle"/>
    <w:p>
      <w:pPr>
        <w:pStyle w:val="Heading2"/>
      </w:pPr>
      <w:r>
        <w:t xml:space="preserve">6. Définition enrichie après second cycle</w:t>
      </w:r>
    </w:p>
    <w:p>
      <w:pPr>
        <w:pStyle w:val="FirstParagraph"/>
      </w:pPr>
      <w:r>
        <w:t xml:space="preserve">Après le premier cycle, une constante effective stabilisée pouvait être définie comme une grandeur traitée comme constante dans un domaine physique donné parce qu’un régime de mesure, d’énergie, de symétrie ou de dynamique rend sa définition robuste et sa valeur comparable.</w:t>
      </w:r>
    </w:p>
    <w:p>
      <w:pPr>
        <w:pStyle w:val="BodyText"/>
      </w:pPr>
      <w:r>
        <w:t xml:space="preserve">Après le second cycle, cette définition peut être enrichie :</w:t>
      </w:r>
    </w:p>
    <w:p>
      <w:pPr>
        <w:pStyle w:val="BodyText"/>
      </w:pPr>
      <w:r>
        <w:rPr>
          <w:b/>
          <w:bCs/>
        </w:rPr>
        <w:t xml:space="preserve">Une constante effective stabilisée est une grandeur dont la valeur, le rôle ou la forme relationnelle devient robuste dans un régime physique déterminé, et qui peut y exercer une fonction de mesure, d’échelle, de différenciation, de raccordement, de mélange ou de fond.</w:t>
      </w:r>
    </w:p>
    <w:p>
      <w:pPr>
        <w:pStyle w:val="BodyText"/>
      </w:pPr>
      <w:r>
        <w:t xml:space="preserve">Cette définition reste volontairement ouverte. Elle ne transforme pas toutes les constantes en objets du même type. Elle permet au contraire de mieux distinguer leurs fonctions.</w:t>
      </w:r>
    </w:p>
    <w:bookmarkEnd w:id="32"/>
    <w:bookmarkStart w:id="33" w:name="carte-des-fonctions-de-constance"/>
    <w:p>
      <w:pPr>
        <w:pStyle w:val="Heading2"/>
      </w:pPr>
      <w:r>
        <w:t xml:space="preserve">7. Carte des fonctions de constance</w:t>
      </w:r>
    </w:p>
    <w:p>
      <w:pPr>
        <w:pStyle w:val="FirstParagraph"/>
      </w:pPr>
      <w:r>
        <w:t xml:space="preserve">Le second cycle permet d’établir une première carte fonctionnelle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Fonction</w:t>
            </w:r>
          </w:p>
        </w:tc>
        <w:tc>
          <w:tcPr/>
          <w:p>
            <w:pPr>
              <w:pStyle w:val="Compact"/>
            </w:pPr>
            <w:r>
              <w:t xml:space="preserve">Description</w:t>
            </w:r>
          </w:p>
        </w:tc>
      </w:tr>
      <w:tr>
        <w:tc>
          <w:tcPr/>
          <w:p>
            <w:pPr>
              <w:pStyle w:val="Compact"/>
            </w:pPr>
            <w:r>
              <w:t xml:space="preserve">Mesurer</w:t>
            </w:r>
          </w:p>
        </w:tc>
        <w:tc>
          <w:tcPr/>
          <w:p>
            <w:pPr>
              <w:pStyle w:val="Compact"/>
            </w:pPr>
            <w:r>
              <w:t xml:space="preserve">Fournir une valeur stable pour comparer des processus</w:t>
            </w:r>
          </w:p>
        </w:tc>
      </w:tr>
      <w:tr>
        <w:tc>
          <w:tcPr/>
          <w:p>
            <w:pPr>
              <w:pStyle w:val="Compact"/>
            </w:pPr>
            <w:r>
              <w:t xml:space="preserve">Fixer une échelle</w:t>
            </w:r>
          </w:p>
        </w:tc>
        <w:tc>
          <w:tcPr/>
          <w:p>
            <w:pPr>
              <w:pStyle w:val="Compact"/>
            </w:pPr>
            <w:r>
              <w:t xml:space="preserve">Déterminer une grandeur commune structurant un régime</w:t>
            </w:r>
          </w:p>
        </w:tc>
      </w:tr>
      <w:tr>
        <w:tc>
          <w:tcPr/>
          <w:p>
            <w:pPr>
              <w:pStyle w:val="Compact"/>
            </w:pPr>
            <w:r>
              <w:t xml:space="preserve">Différencier</w:t>
            </w:r>
          </w:p>
        </w:tc>
        <w:tc>
          <w:tcPr/>
          <w:p>
            <w:pPr>
              <w:pStyle w:val="Compact"/>
            </w:pPr>
            <w:r>
              <w:t xml:space="preserve">Distribuer une échelle ou une structure entre plusieurs entités</w:t>
            </w:r>
          </w:p>
        </w:tc>
      </w:tr>
      <w:tr>
        <w:tc>
          <w:tcPr/>
          <w:p>
            <w:pPr>
              <w:pStyle w:val="Compact"/>
            </w:pPr>
            <w:r>
              <w:t xml:space="preserve">Raccorder</w:t>
            </w:r>
          </w:p>
        </w:tc>
        <w:tc>
          <w:tcPr/>
          <w:p>
            <w:pPr>
              <w:pStyle w:val="Compact"/>
            </w:pPr>
            <w:r>
              <w:t xml:space="preserve">Relier une description effective à une théorie plus complète</w:t>
            </w:r>
          </w:p>
        </w:tc>
      </w:tr>
      <w:tr>
        <w:tc>
          <w:tcPr/>
          <w:p>
            <w:pPr>
              <w:pStyle w:val="Compact"/>
            </w:pPr>
            <w:r>
              <w:t xml:space="preserve">Orienter</w:t>
            </w:r>
          </w:p>
        </w:tc>
        <w:tc>
          <w:tcPr/>
          <w:p>
            <w:pPr>
              <w:pStyle w:val="Compact"/>
            </w:pPr>
            <w:r>
              <w:t xml:space="preserve">Stabiliser un mélange entre champs ou secteurs</w:t>
            </w:r>
          </w:p>
        </w:tc>
      </w:tr>
      <w:tr>
        <w:tc>
          <w:tcPr/>
          <w:p>
            <w:pPr>
              <w:pStyle w:val="Compact"/>
            </w:pPr>
            <w:r>
              <w:t xml:space="preserve">Hiérarchiser</w:t>
            </w:r>
          </w:p>
        </w:tc>
        <w:tc>
          <w:tcPr/>
          <w:p>
            <w:pPr>
              <w:pStyle w:val="Compact"/>
            </w:pPr>
            <w:r>
              <w:t xml:space="preserve">Exprimer l’écart entre deux échelles physiques</w:t>
            </w:r>
          </w:p>
        </w:tc>
      </w:tr>
      <w:tr>
        <w:tc>
          <w:tcPr/>
          <w:p>
            <w:pPr>
              <w:pStyle w:val="Compact"/>
            </w:pPr>
            <w:r>
              <w:t xml:space="preserve">Fonder cosmologiquement</w:t>
            </w:r>
          </w:p>
        </w:tc>
        <w:tc>
          <w:tcPr/>
          <w:p>
            <w:pPr>
              <w:pStyle w:val="Compact"/>
            </w:pPr>
            <w:r>
              <w:t xml:space="preserve">Contribuer à la dynamique globale de l’espace-temps</w:t>
            </w:r>
          </w:p>
        </w:tc>
      </w:tr>
    </w:tbl>
    <w:p>
      <w:pPr>
        <w:pStyle w:val="BodyText"/>
      </w:pPr>
      <w:r>
        <w:t xml:space="preserve">Cette carte est plus importante qu’une simple liste de constantes. Elle donne à l’enquête sa forme propre : non pas classifier des nombres, mais classifier des fonctions de stabilité.</w:t>
      </w:r>
    </w:p>
    <w:bookmarkEnd w:id="33"/>
    <w:bookmarkStart w:id="34" w:name="portée-et-limite-du-second-cycle"/>
    <w:p>
      <w:pPr>
        <w:pStyle w:val="Heading2"/>
      </w:pPr>
      <w:r>
        <w:t xml:space="preserve">8. Portée et limite du second cycle</w:t>
      </w:r>
    </w:p>
    <w:p>
      <w:pPr>
        <w:pStyle w:val="FirstParagraph"/>
      </w:pPr>
      <w:r>
        <w:t xml:space="preserve">La portée du second cycle est forte : la méthode résiste à des cas très différents. Elle fonctionne pour des paramètres du secteur électrofaible, pour une constante effective basse énergie, pour un couplage gravitationnel reformulé sans dimension, et pour une constante cosmologique problématique.</w:t>
      </w:r>
    </w:p>
    <w:p>
      <w:pPr>
        <w:pStyle w:val="BodyText"/>
      </w:pPr>
      <w:r>
        <w:t xml:space="preserve">La limite est également claire : plus on s’éloigne des constantes locales et des régimes bien testés, plus l’interprétation devient délicate. (</w:t>
      </w:r>
      <w:r>
        <w:t xml:space="preserve">) montre que la grille peut aider à clarifier les niveaux de lecture, mais ne doit pas prétendre résoudre les problèmes physiques sous-jacents.</w:t>
      </w:r>
    </w:p>
    <w:p>
      <w:pPr>
        <w:pStyle w:val="BodyText"/>
      </w:pPr>
      <w:r>
        <w:t xml:space="preserve">La méthode gagne donc en solidité à condition de rester sobre : elle classe les statuts et les fonctions, elle ne remplace pas les théories physiques.</w:t>
      </w:r>
    </w:p>
    <w:bookmarkEnd w:id="34"/>
    <w:bookmarkStart w:id="35" w:name="prochaine-étape"/>
    <w:p>
      <w:pPr>
        <w:pStyle w:val="Heading2"/>
      </w:pPr>
      <w:r>
        <w:t xml:space="preserve">9. Prochaine étape</w:t>
      </w:r>
    </w:p>
    <w:p>
      <w:pPr>
        <w:pStyle w:val="FirstParagraph"/>
      </w:pPr>
      <w:r>
        <w:t xml:space="preserve">La prochaine étape ne devrait pas être une nouvelle fiche isolée. Il faut maintenant produire une</w:t>
      </w:r>
      <w:r>
        <w:t xml:space="preserve"> </w:t>
      </w:r>
      <w:r>
        <w:rPr>
          <w:b/>
          <w:bCs/>
        </w:rPr>
        <w:t xml:space="preserve">carte consolidée des deux cycles</w:t>
      </w:r>
      <w:r>
        <w:t xml:space="preserve">.</w:t>
      </w:r>
    </w:p>
    <w:p>
      <w:pPr>
        <w:pStyle w:val="BodyText"/>
      </w:pPr>
      <w:r>
        <w:t xml:space="preserve">Cette carte devra réunir les catégories du premier et du second cycle, puis vérifier si certaines catégories se recouvrent, si certaines doivent être fusionnées, ou si d’autres doivent être distinguées plus finement.</w:t>
      </w:r>
    </w:p>
    <w:p>
      <w:pPr>
        <w:pStyle w:val="BodyText"/>
      </w:pPr>
      <w:r>
        <w:t xml:space="preserve">L’objectif sera de passer d’une accumulation de fiches à une architecture d’ensemble.</w:t>
      </w:r>
    </w:p>
    <w:p>
      <w:pPr>
        <w:pStyle w:val="BodyText"/>
      </w:pPr>
      <w:r>
        <w:t xml:space="preserve">Titre proposé :</w:t>
      </w:r>
    </w:p>
    <w:p>
      <w:pPr>
        <w:pStyle w:val="BodyText"/>
      </w:pPr>
      <w:r>
        <w:rPr>
          <w:b/>
          <w:bCs/>
        </w:rPr>
        <w:t xml:space="preserve">Carte consolidée v0.1 — Taxonomie des constantes effectives stabilisées</w:t>
      </w:r>
    </w:p>
    <w:p>
      <w:pPr>
        <w:pStyle w:val="BodyText"/>
      </w:pPr>
      <w:r>
        <w:t xml:space="preserve">Cette carte devra répondre à trois questions :</w:t>
      </w:r>
    </w:p>
    <w:p>
      <w:pPr>
        <w:numPr>
          <w:ilvl w:val="0"/>
          <w:numId w:val="1001"/>
        </w:numPr>
      </w:pPr>
      <w:r>
        <w:t xml:space="preserve">Combien de types avons-nous réellement identifiés ?</w:t>
      </w:r>
    </w:p>
    <w:p>
      <w:pPr>
        <w:numPr>
          <w:ilvl w:val="0"/>
          <w:numId w:val="1001"/>
        </w:numPr>
      </w:pPr>
      <w:r>
        <w:t xml:space="preserve">Quelles catégories sont robustes, et lesquelles sont encore provisoires ?</w:t>
      </w:r>
    </w:p>
    <w:p>
      <w:pPr>
        <w:numPr>
          <w:ilvl w:val="0"/>
          <w:numId w:val="1001"/>
        </w:numPr>
      </w:pPr>
      <w:r>
        <w:t xml:space="preserve">Quel serait le prochain terrain à tester après consolidation : neutrinos, paramètres cosmologiques, inflation, constantes thermodynamiques, ou unités naturelles ?</w:t>
      </w:r>
    </w:p>
    <w:bookmarkEnd w:id="35"/>
    <w:bookmarkStart w:id="36" w:name="formule-de-travail-après-second-cycle"/>
    <w:p>
      <w:pPr>
        <w:pStyle w:val="Heading2"/>
      </w:pPr>
      <w:r>
        <w:t xml:space="preserve">10. Formule de travail après second cycle</w:t>
      </w:r>
    </w:p>
    <w:p>
      <w:pPr>
        <w:pStyle w:val="FirstParagraph"/>
      </w:pPr>
      <w:r>
        <w:t xml:space="preserve">La formule issue du second cycle est la suivante :</w:t>
      </w:r>
    </w:p>
    <w:p>
      <w:pPr>
        <w:pStyle w:val="BodyText"/>
      </w:pPr>
      <w:r>
        <w:rPr>
          <w:b/>
          <w:bCs/>
        </w:rPr>
        <w:t xml:space="preserve">Une constante n’est pas seulement une valeur stable ; elle peut être une fonction stabilisatrice dans l’architecture d’un régime physique.</w:t>
      </w:r>
    </w:p>
    <w:p>
      <w:pPr>
        <w:pStyle w:val="BodyText"/>
      </w:pPr>
      <w:r>
        <w:t xml:space="preserve">Cette formule marque un progrès méthodologique. Elle permet de penser les constantes non comme une collection de nombres, mais comme des opérateurs de stabilité, de raccordement et d’organisation dans des domaines physiques déterminés.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2026-07-09T06:21:49Z</dcterms:created>
  <dcterms:modified xsi:type="dcterms:W3CDTF">2026-07-09T06:21:49Z</dcterms:modified>
</cp:coreProperties>
</file>

<file path=docProps/custom.xml><?xml version="1.0" encoding="utf-8"?>
<Properties xmlns="http://schemas.openxmlformats.org/officeDocument/2006/custom-properties" xmlns:vt="http://schemas.openxmlformats.org/officeDocument/2006/docPropsVTypes"/>
</file>