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fiche-_w-v0.1"/>
    <w:p>
      <w:pPr>
        <w:pStyle w:val="Heading1"/>
      </w:pPr>
      <w:r>
        <w:t xml:space="preserve">Fiche (</w:t>
      </w:r>
      <w:r>
        <w:t xml:space="preserve">_W) v0.1</w:t>
      </w:r>
    </w:p>
    <w:bookmarkStart w:id="20" w:name="Xfff22cb0d3d9a49485d54cc7eff404de7dbb5b9"/>
    <w:p>
      <w:pPr>
        <w:pStyle w:val="Heading2"/>
      </w:pPr>
      <w:r>
        <w:t xml:space="preserve">Angle faible, mélange électrofaible et orientation des champs neutres</w:t>
      </w:r>
    </w:p>
    <w:bookmarkEnd w:id="20"/>
    <w:bookmarkStart w:id="21" w:name="identification"/>
    <w:p>
      <w:pPr>
        <w:pStyle w:val="Heading2"/>
      </w:pPr>
      <w:r>
        <w:t xml:space="preserve">1. Identification</w:t>
      </w:r>
    </w:p>
    <w:p>
      <w:pPr>
        <w:pStyle w:val="FirstParagraph"/>
      </w:pPr>
      <w:r>
        <w:t xml:space="preserve">L’angle faible, ou angle de Weinberg, noté (</w:t>
      </w:r>
      <w:r>
        <w:t xml:space="preserve">_W), est un paramètre sans dimension du secteur électrofaible du Modèle standard. Il caractérise le mélange entre les deux champs de jauge neutres associés à (SU(2)</w:t>
      </w:r>
      <w:r>
        <w:rPr>
          <w:i/>
          <w:iCs/>
        </w:rPr>
        <w:t xml:space="preserve">L) et (U(1)</w:t>
      </w:r>
      <w:r>
        <w:rPr>
          <w:i/>
          <w:i/>
          <w:iCs/>
          <w:iCs/>
        </w:rPr>
        <w:t xml:space="preserve">Y), généralement notés (W^3</w:t>
      </w:r>
      <w:r>
        <w:rPr>
          <w:i/>
          <w:iCs/>
        </w:rPr>
        <w:t xml:space="preserve">) et (B</w:t>
      </w:r>
      <w:r>
        <w:t xml:space="preserve">).</w:t>
      </w:r>
    </w:p>
    <w:p>
      <w:pPr>
        <w:pStyle w:val="BodyText"/>
      </w:pPr>
      <w:r>
        <w:t xml:space="preserve">Après la brisure électrofaible, les combinaisons physiques sont le photon (A_</w:t>
      </w:r>
      <w:r>
        <w:t xml:space="preserve">) et le boson neutre (Z_</w:t>
      </w:r>
      <w:r>
        <w:t xml:space="preserve">). Dans la convention usuelle :</w:t>
      </w:r>
    </w:p>
    <w:p>
      <w:pPr>
        <w:pStyle w:val="BodyText"/>
      </w:pPr>
      <w:r>
        <w:t xml:space="preserve">[</w:t>
      </w:r>
      <w:r>
        <w:t xml:space="preserve"> </w:t>
      </w:r>
      <w:r>
        <w:t xml:space="preserve">A_</w:t>
      </w:r>
      <w:r>
        <w:t xml:space="preserve">= B_</w:t>
      </w:r>
      <w:r>
        <w:rPr>
          <w:i/>
          <w:iCs/>
        </w:rPr>
        <w:t xml:space="preserve">W + W^3</w:t>
      </w:r>
      <w:r>
        <w:t xml:space="preserve">_W</w:t>
      </w:r>
      <w:r>
        <w:t xml:space="preserve"> </w:t>
      </w:r>
      <w:r>
        <w:t xml:space="preserve">]</w:t>
      </w:r>
    </w:p>
    <w:p>
      <w:pPr>
        <w:pStyle w:val="BodyText"/>
      </w:pPr>
      <w:r>
        <w:t xml:space="preserve">[</w:t>
      </w:r>
      <w:r>
        <w:t xml:space="preserve"> </w:t>
      </w:r>
      <w:r>
        <w:t xml:space="preserve">Z_</w:t>
      </w:r>
      <w:r>
        <w:t xml:space="preserve">= -B_</w:t>
      </w:r>
      <w:r>
        <w:rPr>
          <w:i/>
          <w:iCs/>
        </w:rPr>
        <w:t xml:space="preserve">W + W^3</w:t>
      </w:r>
      <w:r>
        <w:t xml:space="preserve">_W</w:t>
      </w:r>
      <w:r>
        <w:t xml:space="preserve"> </w:t>
      </w:r>
      <w:r>
        <w:t xml:space="preserve">]</w:t>
      </w:r>
    </w:p>
    <w:p>
      <w:pPr>
        <w:pStyle w:val="BodyText"/>
      </w:pPr>
      <w:r>
        <w:t xml:space="preserve">Le Particle Data Group définit (</w:t>
      </w:r>
      <w:r>
        <w:t xml:space="preserve">_W) par :</w:t>
      </w:r>
    </w:p>
    <w:p>
      <w:pPr>
        <w:pStyle w:val="BodyText"/>
      </w:pPr>
      <w:r>
        <w:t xml:space="preserve">[</w:t>
      </w:r>
      <w:r>
        <w:t xml:space="preserve"> </w:t>
      </w:r>
      <w:r>
        <w:t xml:space="preserve">_W =</w:t>
      </w:r>
      <w:r>
        <w:t xml:space="preserve"> </w:t>
      </w:r>
      <w:r>
        <w:t xml:space="preserve">^{-1}(g’/g)</w:t>
      </w:r>
      <w:r>
        <w:t xml:space="preserve"> </w:t>
      </w:r>
      <w:r>
        <w:t xml:space="preserve">]</w:t>
      </w:r>
    </w:p>
    <w:p>
      <w:pPr>
        <w:pStyle w:val="BodyText"/>
      </w:pPr>
      <w:r>
        <w:t xml:space="preserve">avec :</w:t>
      </w:r>
    </w:p>
    <w:p>
      <w:pPr>
        <w:pStyle w:val="BodyText"/>
      </w:pPr>
      <w:r>
        <w:t xml:space="preserve">[</w:t>
      </w:r>
      <w:r>
        <w:t xml:space="preserve"> </w:t>
      </w:r>
      <w:r>
        <w:t xml:space="preserve">e = g</w:t>
      </w:r>
      <w:r>
        <w:t xml:space="preserve">_W</w:t>
      </w:r>
      <w:r>
        <w:t xml:space="preserve"> </w:t>
      </w:r>
      <w:r>
        <w:t xml:space="preserve">]</w:t>
      </w:r>
    </w:p>
    <w:p>
      <w:pPr>
        <w:pStyle w:val="BodyText"/>
      </w:pPr>
      <w:r>
        <w:t xml:space="preserve">où (g) est le couplage de (SU(2)</w:t>
      </w:r>
      <w:r>
        <w:rPr>
          <w:i/>
          <w:iCs/>
        </w:rPr>
        <w:t xml:space="preserve">L), (g’) celui de (U(1)</w:t>
      </w:r>
      <w:r>
        <w:rPr>
          <w:i/>
          <w:i/>
          <w:iCs/>
          <w:iCs/>
        </w:rPr>
        <w:t xml:space="preserve">Y), et (e) la charge électrique positive élémentaire. Le PDG donne aussi explicitement les combinaisons de champs (A</w:t>
      </w:r>
      <w:r>
        <w:rPr>
          <w:i/>
          <w:iCs/>
        </w:rPr>
        <w:t xml:space="preserve">) et (Z</w:t>
      </w:r>
      <w:r>
        <w:t xml:space="preserve">) ci-dessus.</w:t>
      </w:r>
    </w:p>
    <w:p>
      <w:pPr>
        <w:pStyle w:val="BodyText"/>
      </w:pPr>
      <w:r>
        <w:t xml:space="preserve">Le point conceptuel est net : (</w:t>
      </w:r>
      <w:r>
        <w:t xml:space="preserve">_W) n’est pas une</w:t>
      </w:r>
      <w:r>
        <w:t xml:space="preserve"> </w:t>
      </w:r>
      <w:r>
        <w:t xml:space="preserve">“force”</w:t>
      </w:r>
      <w:r>
        <w:t xml:space="preserve"> </w:t>
      </w:r>
      <w:r>
        <w:t xml:space="preserve">isolée. C’est un paramètre d’orientation dans l’espace des champs neutres électrofaibles. Il indique comment le régime basse énergie distingue le photon sans masse du boson (Z) massif.</w:t>
      </w:r>
    </w:p>
    <w:bookmarkEnd w:id="21"/>
    <w:bookmarkStart w:id="22" w:name="statut-physique"/>
    <w:p>
      <w:pPr>
        <w:pStyle w:val="Heading2"/>
      </w:pPr>
      <w:r>
        <w:t xml:space="preserve">2. Statut physique</w:t>
      </w:r>
    </w:p>
    <w:p>
      <w:pPr>
        <w:pStyle w:val="FirstParagraph"/>
      </w:pPr>
      <w:r>
        <w:t xml:space="preserve">L’angle faible possède un statut hybride.</w:t>
      </w:r>
    </w:p>
    <w:p>
      <w:pPr>
        <w:pStyle w:val="BodyText"/>
      </w:pPr>
      <w:r>
        <w:t xml:space="preserve">D’un côté, il est sans dimension, donc plus robuste conceptuellement qu’une constante dimensionnée. De l’autre, sa valeur précise dépend du schéma de renormalisation choisi. Il ne faut donc pas parler de</w:t>
      </w:r>
      <w:r>
        <w:t xml:space="preserve"> </w:t>
      </w:r>
      <w:r>
        <w:t xml:space="preserve">“la”</w:t>
      </w:r>
      <w:r>
        <w:t xml:space="preserve"> </w:t>
      </w:r>
      <w:r>
        <w:t xml:space="preserve">valeur de (</w:t>
      </w:r>
      <w:r>
        <w:t xml:space="preserve">^2</w:t>
      </w:r>
      <w:r>
        <w:t xml:space="preserve">_W) sans préciser le cadre : définition on-shell, définition (</w:t>
      </w:r>
      <w:r>
        <w:t xml:space="preserve">), angle effectif leptoniquement mesuré au pôle (Z), ou valeur courante à basse énergie.</w:t>
      </w:r>
    </w:p>
    <w:p>
      <w:pPr>
        <w:pStyle w:val="BodyText"/>
      </w:pPr>
      <w:r>
        <w:t xml:space="preserve">Le PDG insiste sur ce point : la valeur de (</w:t>
      </w:r>
      <w:r>
        <w:t xml:space="preserve">^2</w:t>
      </w:r>
      <w:r>
        <w:t xml:space="preserve">_W) dépend de la prescription de renormalisation, et plusieurs schémas populaires donnent des valeurs légèrement différentes. Dans son tableau 2025, le PDG donne notamment :</w:t>
      </w:r>
    </w:p>
    <w:p>
      <w:pPr>
        <w:pStyle w:val="BodyText"/>
      </w:pPr>
      <w:r>
        <w:t xml:space="preserve">[</w:t>
      </w:r>
      <w:r>
        <w:t xml:space="preserve"> </w:t>
      </w:r>
      <w:r>
        <w:t xml:space="preserve">s_W^2 = 0{,}22342</w:t>
      </w:r>
      <w:r>
        <w:t xml:space="preserve"> </w:t>
      </w:r>
      <w:r>
        <w:t xml:space="preserve">00009</w:t>
      </w:r>
      <w:r>
        <w:t xml:space="preserve"> </w:t>
      </w:r>
      <w:r>
        <w:t xml:space="preserve">]</w:t>
      </w:r>
    </w:p>
    <w:p>
      <w:pPr>
        <w:pStyle w:val="BodyText"/>
      </w:pPr>
      <w:r>
        <w:t xml:space="preserve">pour le schéma on-shell,</w:t>
      </w:r>
    </w:p>
    <w:p>
      <w:pPr>
        <w:pStyle w:val="BodyText"/>
      </w:pPr>
      <w:r>
        <w:t xml:space="preserve">[</w:t>
      </w:r>
      <w:r>
        <w:t xml:space="preserve"> </w:t>
      </w:r>
      <w:r>
        <w:t xml:space="preserve">{s}_</w:t>
      </w:r>
      <w:r>
        <w:t xml:space="preserve">^2 = 0{,}23154</w:t>
      </w:r>
      <w:r>
        <w:t xml:space="preserve"> </w:t>
      </w:r>
      <w:r>
        <w:t xml:space="preserve">00006</w:t>
      </w:r>
      <w:r>
        <w:t xml:space="preserve"> </w:t>
      </w:r>
      <w:r>
        <w:t xml:space="preserve">]</w:t>
      </w:r>
    </w:p>
    <w:p>
      <w:pPr>
        <w:pStyle w:val="BodyText"/>
      </w:pPr>
      <w:r>
        <w:t xml:space="preserve">pour l’angle faible effectif leptoniquement mesuré,</w:t>
      </w:r>
    </w:p>
    <w:p>
      <w:pPr>
        <w:pStyle w:val="BodyText"/>
      </w:pPr>
      <w:r>
        <w:t xml:space="preserve">et</w:t>
      </w:r>
    </w:p>
    <w:p>
      <w:pPr>
        <w:pStyle w:val="BodyText"/>
      </w:pPr>
      <w:r>
        <w:t xml:space="preserve">[</w:t>
      </w:r>
      <w:r>
        <w:t xml:space="preserve"> </w:t>
      </w:r>
      <w:r>
        <w:t xml:space="preserve">_Z^2 = 0{,}23122</w:t>
      </w:r>
      <w:r>
        <w:t xml:space="preserve"> </w:t>
      </w:r>
      <w:r>
        <w:t xml:space="preserve">00006</w:t>
      </w:r>
      <w:r>
        <w:t xml:space="preserve"> </w:t>
      </w:r>
      <w:r>
        <w:t xml:space="preserve">]</w:t>
      </w:r>
    </w:p>
    <w:p>
      <w:pPr>
        <w:pStyle w:val="BodyText"/>
      </w:pPr>
      <w:r>
        <w:t xml:space="preserve">pour la définition (</w:t>
      </w:r>
      <w:r>
        <w:t xml:space="preserve">) à l’échelle (M_Z).</w:t>
      </w:r>
    </w:p>
    <w:p>
      <w:pPr>
        <w:pStyle w:val="BodyText"/>
      </w:pPr>
      <w:r>
        <w:t xml:space="preserve">Cette pluralité de valeurs n’est pas une incohérence. Elle indique que (</w:t>
      </w:r>
      <w:r>
        <w:t xml:space="preserve">_W) est une grandeur de raccordement entre théorie, schéma de calcul et observables.</w:t>
      </w:r>
    </w:p>
    <w:bookmarkEnd w:id="22"/>
    <w:bookmarkStart w:id="23" w:name="relation-aux-masses-des-bosons-faibles"/>
    <w:p>
      <w:pPr>
        <w:pStyle w:val="Heading2"/>
      </w:pPr>
      <w:r>
        <w:t xml:space="preserve">3. Relation aux masses des bosons faibles</w:t>
      </w:r>
    </w:p>
    <w:p>
      <w:pPr>
        <w:pStyle w:val="FirstParagraph"/>
      </w:pPr>
      <w:r>
        <w:t xml:space="preserve">Dans le schéma on-shell, l’angle faible est relié aux masses des bosons (W) et (Z) par :</w:t>
      </w:r>
    </w:p>
    <w:p>
      <w:pPr>
        <w:pStyle w:val="BodyText"/>
      </w:pPr>
      <w:r>
        <w:t xml:space="preserve">[</w:t>
      </w:r>
      <w:r>
        <w:t xml:space="preserve"> </w:t>
      </w:r>
      <w:r>
        <w:t xml:space="preserve">s_W^2</w:t>
      </w:r>
      <w:r>
        <w:t xml:space="preserve"> </w:t>
      </w:r>
      <w:r>
        <w:t xml:space="preserve">^2</w:t>
      </w:r>
      <w:r>
        <w:t xml:space="preserve">_W = 1-</w:t>
      </w:r>
      <w:r>
        <w:t xml:space="preserve"> </w:t>
      </w:r>
      <w:r>
        <w:t xml:space="preserve">]</w:t>
      </w:r>
    </w:p>
    <w:p>
      <w:pPr>
        <w:pStyle w:val="BodyText"/>
      </w:pPr>
      <w:r>
        <w:t xml:space="preserve">ou encore :</w:t>
      </w:r>
    </w:p>
    <w:p>
      <w:pPr>
        <w:pStyle w:val="BodyText"/>
      </w:pPr>
      <w:r>
        <w:t xml:space="preserve">[</w:t>
      </w:r>
      <w:r>
        <w:t xml:space="preserve"> </w:t>
      </w:r>
      <w:r>
        <w:t xml:space="preserve">M_Z =</w:t>
      </w:r>
      <w:r>
        <w:t xml:space="preserve"> </w:t>
      </w:r>
      <w:r>
        <w:t xml:space="preserve"> </w:t>
      </w:r>
      <w:r>
        <w:t xml:space="preserve">]</w:t>
      </w:r>
    </w:p>
    <w:p>
      <w:pPr>
        <w:pStyle w:val="BodyText"/>
      </w:pPr>
      <w:r>
        <w:t xml:space="preserve">au niveau de cette définition. Le PDG présente cette relation comme la définition on-shell de l’angle faible renormalisé.</w:t>
      </w:r>
    </w:p>
    <w:p>
      <w:pPr>
        <w:pStyle w:val="BodyText"/>
      </w:pPr>
      <w:r>
        <w:t xml:space="preserve">Cette relation montre pourquoi (</w:t>
      </w:r>
      <w:r>
        <w:t xml:space="preserve">_W) est plus qu’un angle formel. Il relie directement le mélange des champs neutres à la séparation entre boson chargé (W), boson neutre (Z), et photon sans masse.</w:t>
      </w:r>
    </w:p>
    <w:p>
      <w:pPr>
        <w:pStyle w:val="BodyText"/>
      </w:pPr>
      <w:r>
        <w:t xml:space="preserve">La relation avec les masses électrofaibles peut aussi s’écrire, au niveau arbre :</w:t>
      </w:r>
    </w:p>
    <w:p>
      <w:pPr>
        <w:pStyle w:val="BodyText"/>
      </w:pPr>
      <w:r>
        <w:t xml:space="preserve">[</w:t>
      </w:r>
      <w:r>
        <w:t xml:space="preserve"> </w:t>
      </w:r>
      <w:r>
        <w:t xml:space="preserve">M_W =</w:t>
      </w:r>
      <w:r>
        <w:t xml:space="preserve"> </w:t>
      </w:r>
      <w:r>
        <w:t xml:space="preserve"> </w:t>
      </w:r>
      <w:r>
        <w:t xml:space="preserve">]</w:t>
      </w:r>
    </w:p>
    <w:p>
      <w:pPr>
        <w:pStyle w:val="BodyText"/>
      </w:pPr>
      <w:r>
        <w:t xml:space="preserve">[</w:t>
      </w:r>
      <w:r>
        <w:t xml:space="preserve"> </w:t>
      </w:r>
      <w:r>
        <w:t xml:space="preserve">M_Z =</w:t>
      </w:r>
      <w:r>
        <w:t xml:space="preserve"> </w:t>
      </w:r>
      <w:r>
        <w:t xml:space="preserve"> </w:t>
      </w:r>
      <w:r>
        <w:t xml:space="preserve">]</w:t>
      </w:r>
    </w:p>
    <w:p>
      <w:pPr>
        <w:pStyle w:val="BodyText"/>
      </w:pPr>
      <w:r>
        <w:t xml:space="preserve">[</w:t>
      </w:r>
      <w:r>
        <w:t xml:space="preserve"> </w:t>
      </w:r>
      <w:r>
        <w:t xml:space="preserve">M_</w:t>
      </w:r>
      <w:r>
        <w:t xml:space="preserve">= 0</w:t>
      </w:r>
      <w:r>
        <w:t xml:space="preserve"> </w:t>
      </w:r>
      <w:r>
        <w:t xml:space="preserve">]</w:t>
      </w:r>
    </w:p>
    <w:p>
      <w:pPr>
        <w:pStyle w:val="BodyText"/>
      </w:pPr>
      <w:r>
        <w:t xml:space="preserve">Le PDG donne ces relations dans sa présentation du secteur bosonique électrofaible.</w:t>
      </w:r>
    </w:p>
    <w:bookmarkEnd w:id="23"/>
    <w:bookmarkStart w:id="24" w:name="relation-à-la-charge-électrique"/>
    <w:p>
      <w:pPr>
        <w:pStyle w:val="Heading2"/>
      </w:pPr>
      <w:r>
        <w:t xml:space="preserve">4. Relation à la charge électrique</w:t>
      </w:r>
    </w:p>
    <w:p>
      <w:pPr>
        <w:pStyle w:val="FirstParagraph"/>
      </w:pPr>
      <w:r>
        <w:t xml:space="preserve">L’angle faible articule les deux couplages électrofaibles (g) et (g’) à la charge électrique (e). On a :</w:t>
      </w:r>
    </w:p>
    <w:p>
      <w:pPr>
        <w:pStyle w:val="BodyText"/>
      </w:pPr>
      <w:r>
        <w:t xml:space="preserve">[</w:t>
      </w:r>
      <w:r>
        <w:t xml:space="preserve"> </w:t>
      </w:r>
      <w:r>
        <w:t xml:space="preserve">e = g</w:t>
      </w:r>
      <w:r>
        <w:t xml:space="preserve">_W = g’</w:t>
      </w:r>
      <w:r>
        <w:t xml:space="preserve">_W</w:t>
      </w:r>
      <w:r>
        <w:t xml:space="preserve"> </w:t>
      </w:r>
      <w:r>
        <w:t xml:space="preserve">]</w:t>
      </w:r>
    </w:p>
    <w:p>
      <w:pPr>
        <w:pStyle w:val="BodyText"/>
      </w:pPr>
      <w:r>
        <w:t xml:space="preserve">Cette relation est essentielle. Elle montre que l’électromagnétisme basse énergie ne correspond pas simplement à l’un des deux groupes initiaux pris isolément. Il correspond à une combinaison résiduelle, stabilisée après la brisure électrofaible.</w:t>
      </w:r>
    </w:p>
    <w:p>
      <w:pPr>
        <w:pStyle w:val="BodyText"/>
      </w:pPr>
      <w:r>
        <w:t xml:space="preserve">L’angle faible exprime donc une opération de sélection structurelle : parmi les champs neutres initiaux, une combinaison devient le photon, l’autre devient le boson (Z). Ce n’est pas une constante de simple intensité ; c’est une constante d’orientation entre deux secteurs de jauge.</w:t>
      </w:r>
    </w:p>
    <w:bookmarkEnd w:id="24"/>
    <w:bookmarkStart w:id="25" w:name="X94d17710c50ee76a5b8cf2e65dd7c68bd495d59"/>
    <w:p>
      <w:pPr>
        <w:pStyle w:val="Heading2"/>
      </w:pPr>
      <w:r>
        <w:t xml:space="preserve">5. Courants neutres et rôle phénoménologique</w:t>
      </w:r>
    </w:p>
    <w:p>
      <w:pPr>
        <w:pStyle w:val="FirstParagraph"/>
      </w:pPr>
      <w:r>
        <w:t xml:space="preserve">(</w:t>
      </w:r>
      <w:r>
        <w:t xml:space="preserve">_W) intervient directement dans les couplages du boson (Z) aux fermions. Au niveau arbre, les couplages vectoriel et axial s’écrivent notamment :</w:t>
      </w:r>
    </w:p>
    <w:p>
      <w:pPr>
        <w:pStyle w:val="BodyText"/>
      </w:pPr>
      <w:r>
        <w:t xml:space="preserve">[</w:t>
      </w:r>
      <w:r>
        <w:t xml:space="preserve"> </w:t>
      </w:r>
      <w:r>
        <w:t xml:space="preserve">g_V^i = T_3^i - 2Q_i</w:t>
      </w:r>
      <w:r>
        <w:t xml:space="preserve">^2</w:t>
      </w:r>
      <w:r>
        <w:t xml:space="preserve">_W</w:t>
      </w:r>
      <w:r>
        <w:t xml:space="preserve"> </w:t>
      </w:r>
      <w:r>
        <w:t xml:space="preserve">]</w:t>
      </w:r>
    </w:p>
    <w:p>
      <w:pPr>
        <w:pStyle w:val="BodyText"/>
      </w:pPr>
      <w:r>
        <w:t xml:space="preserve">[</w:t>
      </w:r>
      <w:r>
        <w:t xml:space="preserve"> </w:t>
      </w:r>
      <w:r>
        <w:t xml:space="preserve">g_A^i = T_3^i</w:t>
      </w:r>
      <w:r>
        <w:t xml:space="preserve"> </w:t>
      </w:r>
      <w:r>
        <w:t xml:space="preserve">]</w:t>
      </w:r>
    </w:p>
    <w:p>
      <w:pPr>
        <w:pStyle w:val="BodyText"/>
      </w:pPr>
      <w:r>
        <w:t xml:space="preserve">où (T_3^i) est la troisième composante de l’isospin faible du fermion considéré, et (Q_i) sa charge électrique en unités de (e). Le PDG donne ces relations dans la description des interactions neutres faibles.</w:t>
      </w:r>
    </w:p>
    <w:p>
      <w:pPr>
        <w:pStyle w:val="BodyText"/>
      </w:pPr>
      <w:r>
        <w:t xml:space="preserve">Ce point rend (</w:t>
      </w:r>
      <w:r>
        <w:t xml:space="preserve">^2</w:t>
      </w:r>
      <w:r>
        <w:t xml:space="preserve">_W) extrêmement sensible aux mesures de précision. Les asymétries au pôle (Z), les processus de diffusion neutrino-nucléon, la violation de parité atomique, la diffusion Møller et d’autres observables de courants neutres permettent d’en contraindre différentes définitions effectives.</w:t>
      </w:r>
    </w:p>
    <w:p>
      <w:pPr>
        <w:pStyle w:val="BodyText"/>
      </w:pPr>
      <w:r>
        <w:t xml:space="preserve">(</w:t>
      </w:r>
      <w:r>
        <w:t xml:space="preserve">_W) est donc une constante de lecture des courants neutres : il détermine comment les fermions</w:t>
      </w:r>
      <w:r>
        <w:t xml:space="preserve"> </w:t>
      </w:r>
      <w:r>
        <w:t xml:space="preserve">“voient”</w:t>
      </w:r>
      <w:r>
        <w:t xml:space="preserve"> </w:t>
      </w:r>
      <w:r>
        <w:t xml:space="preserve">le boson (Z), et comment la neutralité électromagnétique résiduelle se distingue de la neutralité faible.</w:t>
      </w:r>
    </w:p>
    <w:bookmarkEnd w:id="25"/>
    <w:bookmarkStart w:id="26" w:name="dépendance-déchelle"/>
    <w:p>
      <w:pPr>
        <w:pStyle w:val="Heading2"/>
      </w:pPr>
      <w:r>
        <w:t xml:space="preserve">6. Dépendance d’échelle</w:t>
      </w:r>
    </w:p>
    <w:p>
      <w:pPr>
        <w:pStyle w:val="FirstParagraph"/>
      </w:pPr>
      <w:r>
        <w:t xml:space="preserve">La valeur effective de l’angle faible dépend de l’échelle d’énergie. Dans le schéma (</w:t>
      </w:r>
      <w:r>
        <w:t xml:space="preserve">), on parle d’un angle faible courant. Le PDG présente la dépendance d’échelle de (</w:t>
      </w:r>
      <w:r>
        <w:t xml:space="preserve">^2</w:t>
      </w:r>
      <w:r>
        <w:t xml:space="preserve">_W(</w:t>
      </w:r>
      <w:r>
        <w:t xml:space="preserve">)), avec des mesures à basse énergie et au pôle (Z), ainsi qu’une évolution par groupe de renormalisation.</w:t>
      </w:r>
    </w:p>
    <w:p>
      <w:pPr>
        <w:pStyle w:val="BodyText"/>
      </w:pPr>
      <w:r>
        <w:t xml:space="preserve">Cette dépendance d’échelle est expérimentalement significative. Le PDG indique que la mesure SLAC E158 à (Q^2 = 0{,}026,</w:t>
      </w:r>
      <w:r>
        <w:t xml:space="preserve">^2) donne :</w:t>
      </w:r>
    </w:p>
    <w:p>
      <w:pPr>
        <w:pStyle w:val="BodyText"/>
      </w:pPr>
      <w:r>
        <w:t xml:space="preserve">[</w:t>
      </w:r>
      <w:r>
        <w:t xml:space="preserve"> </w:t>
      </w:r>
      <w:r>
        <w:t xml:space="preserve">^2</w:t>
      </w:r>
      <w:r>
        <w:t xml:space="preserve">_W(161,</w:t>
      </w:r>
      <w:r>
        <w:t xml:space="preserve">) = 0{,}2403</w:t>
      </w:r>
      <w:r>
        <w:t xml:space="preserve"> </w:t>
      </w:r>
      <w:r>
        <w:t xml:space="preserve">0013</w:t>
      </w:r>
      <w:r>
        <w:t xml:space="preserve"> </w:t>
      </w:r>
      <w:r>
        <w:t xml:space="preserve">]</w:t>
      </w:r>
    </w:p>
    <w:p>
      <w:pPr>
        <w:pStyle w:val="BodyText"/>
      </w:pPr>
      <w:r>
        <w:t xml:space="preserve">et qu’elle a établi la dépendance d’échelle de l’angle faible au niveau de (6</w:t>
      </w:r>
      <w:r>
        <w:t xml:space="preserve">). Il mentionne aussi des contraintes issues de la violation de parité atomique, par exemple une valeur effective autour de (2{,}4,</w:t>
      </w:r>
      <w:r>
        <w:t xml:space="preserve">).</w:t>
      </w:r>
    </w:p>
    <w:p>
      <w:pPr>
        <w:pStyle w:val="BodyText"/>
      </w:pPr>
      <w:r>
        <w:t xml:space="preserve">La conséquence méthodologique est importante : (</w:t>
      </w:r>
      <w:r>
        <w:t xml:space="preserve">_W) est une constante de régime, mais non une valeur unique indépendante de l’échelle, du schéma et de l’observable.</w:t>
      </w:r>
    </w:p>
    <w:bookmarkEnd w:id="26"/>
    <w:bookmarkStart w:id="27" w:name="X1c7e6c00dbe83ef06509f3c63a1726a87ba392f"/>
    <w:p>
      <w:pPr>
        <w:pStyle w:val="Heading2"/>
      </w:pPr>
      <w:r>
        <w:t xml:space="preserve">7. Schémas, observables et prudence de définition</w:t>
      </w:r>
    </w:p>
    <w:p>
      <w:pPr>
        <w:pStyle w:val="FirstParagraph"/>
      </w:pPr>
      <w:r>
        <w:t xml:space="preserve">Le cas de (</w:t>
      </w:r>
      <w:r>
        <w:t xml:space="preserve">_W) impose une discipline stricte : il faut toujours préciser quelle définition est utilisée.</w:t>
      </w:r>
    </w:p>
    <w:p>
      <w:pPr>
        <w:pStyle w:val="BodyText"/>
      </w:pPr>
      <w:r>
        <w:t xml:space="preserve">La définition on-shell est liée aux masses (M_W) et (M_Z) :</w:t>
      </w:r>
    </w:p>
    <w:p>
      <w:pPr>
        <w:pStyle w:val="BodyText"/>
      </w:pPr>
      <w:r>
        <w:t xml:space="preserve">[</w:t>
      </w:r>
      <w:r>
        <w:t xml:space="preserve"> </w:t>
      </w:r>
      <w:r>
        <w:t xml:space="preserve">s_W^2 = 1-</w:t>
      </w:r>
      <w:r>
        <w:t xml:space="preserve"> </w:t>
      </w:r>
      <w:r>
        <w:t xml:space="preserve">]</w:t>
      </w:r>
    </w:p>
    <w:p>
      <w:pPr>
        <w:pStyle w:val="BodyText"/>
      </w:pPr>
      <w:r>
        <w:t xml:space="preserve">La définition (</w:t>
      </w:r>
      <w:r>
        <w:t xml:space="preserve">) exprime l’angle en fonction des couplages renormalisés dépendant de l’échelle :</w:t>
      </w:r>
    </w:p>
    <w:p>
      <w:pPr>
        <w:pStyle w:val="BodyText"/>
      </w:pPr>
      <w:r>
        <w:t xml:space="preserve">[</w:t>
      </w:r>
      <w:r>
        <w:t xml:space="preserve"> </w:t>
      </w:r>
      <w:r>
        <w:t xml:space="preserve">^2</w:t>
      </w:r>
      <w:r>
        <w:t xml:space="preserve">_W(</w:t>
      </w:r>
      <w:r>
        <w:t xml:space="preserve">^2)</w:t>
      </w:r>
      <w:r>
        <w:t xml:space="preserve"> </w:t>
      </w:r>
      <w:r>
        <w:t xml:space="preserve">=</w:t>
      </w:r>
      <w:r>
        <w:t xml:space="preserve"> </w:t>
      </w:r>
      <w:r>
        <w:t xml:space="preserve"> </w:t>
      </w:r>
      <w:r>
        <w:t xml:space="preserve">{</w:t>
      </w:r>
      <w:r>
        <w:t xml:space="preserve">(</w:t>
      </w:r>
      <w:r>
        <w:rPr>
          <w:vertAlign w:val="superscript"/>
        </w:rPr>
        <w:t xml:space="preserve">2)</w:t>
      </w:r>
      <w:r>
        <w:t xml:space="preserve">2+</w:t>
      </w:r>
      <w:r>
        <w:t xml:space="preserve">’(</w:t>
      </w:r>
      <w:r>
        <w:rPr>
          <w:vertAlign w:val="superscript"/>
        </w:rPr>
        <w:t xml:space="preserve">2)</w:t>
      </w:r>
      <w:r>
        <w:t xml:space="preserve">2}</w:t>
      </w:r>
      <w:r>
        <w:t xml:space="preserve"> </w:t>
      </w:r>
      <w:r>
        <w:t xml:space="preserve">]</w:t>
      </w:r>
    </w:p>
    <w:p>
      <w:pPr>
        <w:pStyle w:val="BodyText"/>
      </w:pPr>
      <w:r>
        <w:t xml:space="preserve">Le PDG donne cette définition et précise que l’échelle (</w:t>
      </w:r>
      <w:r>
        <w:t xml:space="preserve">) est souvent choisie égale à (M_Z) pour de nombreux processus électrofaibles.</w:t>
      </w:r>
    </w:p>
    <w:p>
      <w:pPr>
        <w:pStyle w:val="BodyText"/>
      </w:pPr>
      <w:r>
        <w:t xml:space="preserve">L’angle effectif leptoniquement mesuré, noté souvent (</w:t>
      </w:r>
      <w:r>
        <w:rPr>
          <w:vertAlign w:val="superscript"/>
        </w:rPr>
        <w:t xml:space="preserve">2</w:t>
      </w:r>
      <w:r>
        <w:t xml:space="preserve">_{</w:t>
      </w:r>
      <w:r>
        <w:t xml:space="preserve">}), est défini à partir des couplages effectifs du boson (Z) aux fermions au pôle (Z). Le PDG le relie à des facteurs de corrections radiatives (</w:t>
      </w:r>
      <w:r>
        <w:t xml:space="preserve">_f), qui dépendent du fermion, du schéma de renormalisation et des corrections électrofaibles.</w:t>
      </w:r>
    </w:p>
    <w:p>
      <w:pPr>
        <w:pStyle w:val="BodyText"/>
      </w:pPr>
      <w:r>
        <w:t xml:space="preserve">Une même notation peut donc masquer plusieurs objets voisins. Pour cette fiche, l’expression</w:t>
      </w:r>
      <w:r>
        <w:t xml:space="preserve"> </w:t>
      </w:r>
      <w:r>
        <w:t xml:space="preserve">“angle faible”</w:t>
      </w:r>
      <w:r>
        <w:t xml:space="preserve"> </w:t>
      </w:r>
      <w:r>
        <w:t xml:space="preserve">désigne la famille de paramètres de mélange électrofaible, et non une unique valeur numérique sans contexte.</w:t>
      </w:r>
    </w:p>
    <w:bookmarkEnd w:id="27"/>
    <w:bookmarkStart w:id="28" w:name="X08de553b9aa0a801f4a846909bbfb90935528a5"/>
    <w:p>
      <w:pPr>
        <w:pStyle w:val="Heading2"/>
      </w:pPr>
      <w:r>
        <w:t xml:space="preserve">8.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w:t>
            </w:r>
            <w:r>
              <w:t xml:space="preserve">_W)</w:t>
            </w:r>
          </w:p>
        </w:tc>
      </w:tr>
      <w:tr>
        <w:tc>
          <w:tcPr/>
          <w:p>
            <w:pPr>
              <w:pStyle w:val="Compact"/>
            </w:pPr>
            <w:r>
              <w:t xml:space="preserve">Type de grandeur</w:t>
            </w:r>
          </w:p>
        </w:tc>
        <w:tc>
          <w:tcPr/>
          <w:p>
            <w:pPr>
              <w:pStyle w:val="Compact"/>
            </w:pPr>
            <w:r>
              <w:t xml:space="preserve">Paramètre sans dimension</w:t>
            </w:r>
          </w:p>
        </w:tc>
      </w:tr>
      <w:tr>
        <w:tc>
          <w:tcPr/>
          <w:p>
            <w:pPr>
              <w:pStyle w:val="Compact"/>
            </w:pPr>
            <w:r>
              <w:t xml:space="preserve">Grandeur usuelle</w:t>
            </w:r>
          </w:p>
        </w:tc>
        <w:tc>
          <w:tcPr/>
          <w:p>
            <w:pPr>
              <w:pStyle w:val="Compact"/>
            </w:pPr>
            <w:r>
              <w:t xml:space="preserve">(</w:t>
            </w:r>
            <w:r>
              <w:t xml:space="preserve">^2</w:t>
            </w:r>
            <w:r>
              <w:t xml:space="preserve">_W)</w:t>
            </w:r>
          </w:p>
        </w:tc>
      </w:tr>
      <w:tr>
        <w:tc>
          <w:tcPr/>
          <w:p>
            <w:pPr>
              <w:pStyle w:val="Compact"/>
            </w:pPr>
            <w:r>
              <w:t xml:space="preserve">Fonction principale</w:t>
            </w:r>
          </w:p>
        </w:tc>
        <w:tc>
          <w:tcPr/>
          <w:p>
            <w:pPr>
              <w:pStyle w:val="Compact"/>
            </w:pPr>
            <w:r>
              <w:t xml:space="preserve">Mélange des champs neutres (B_</w:t>
            </w:r>
            <w:r>
              <w:t xml:space="preserve">) et (W^3_</w:t>
            </w:r>
            <w:r>
              <w:t xml:space="preserve">)</w:t>
            </w:r>
          </w:p>
        </w:tc>
      </w:tr>
      <w:tr>
        <w:tc>
          <w:tcPr/>
          <w:p>
            <w:pPr>
              <w:pStyle w:val="Compact"/>
            </w:pPr>
            <w:r>
              <w:t xml:space="preserve">Champs physiques produits</w:t>
            </w:r>
          </w:p>
        </w:tc>
        <w:tc>
          <w:tcPr/>
          <w:p>
            <w:pPr>
              <w:pStyle w:val="Compact"/>
            </w:pPr>
            <w:r>
              <w:t xml:space="preserve">Photon (A_</w:t>
            </w:r>
            <w:r>
              <w:t xml:space="preserve">) et boson (Z_</w:t>
            </w:r>
            <w:r>
              <w:t xml:space="preserve">)</w:t>
            </w:r>
          </w:p>
        </w:tc>
      </w:tr>
      <w:tr>
        <w:tc>
          <w:tcPr/>
          <w:p>
            <w:pPr>
              <w:pStyle w:val="Compact"/>
            </w:pPr>
            <w:r>
              <w:t xml:space="preserve">Relation aux couplages</w:t>
            </w:r>
          </w:p>
        </w:tc>
        <w:tc>
          <w:tcPr/>
          <w:p>
            <w:pPr>
              <w:pStyle w:val="Compact"/>
            </w:pPr>
            <w:r>
              <w:t xml:space="preserve">(</w:t>
            </w:r>
            <w:r>
              <w:t xml:space="preserve">_W = g’/g), (e=g</w:t>
            </w:r>
            <w:r>
              <w:t xml:space="preserve">_W)</w:t>
            </w:r>
          </w:p>
        </w:tc>
      </w:tr>
      <w:tr>
        <w:tc>
          <w:tcPr/>
          <w:p>
            <w:pPr>
              <w:pStyle w:val="Compact"/>
            </w:pPr>
            <w:r>
              <w:t xml:space="preserve">Définition on-shell</w:t>
            </w:r>
          </w:p>
        </w:tc>
        <w:tc>
          <w:tcPr/>
          <w:p>
            <w:pPr>
              <w:pStyle w:val="Compact"/>
            </w:pPr>
            <w:r>
              <w:t xml:space="preserve">(s_W</w:t>
            </w:r>
            <w:r>
              <w:rPr>
                <w:vertAlign w:val="superscript"/>
              </w:rPr>
              <w:t xml:space="preserve">2=1-M_W</w:t>
            </w:r>
            <w:r>
              <w:t xml:space="preserve">2/M_Z^2)</w:t>
            </w:r>
          </w:p>
        </w:tc>
      </w:tr>
      <w:tr>
        <w:tc>
          <w:tcPr/>
          <w:p>
            <w:pPr>
              <w:pStyle w:val="Compact"/>
            </w:pPr>
            <w:r>
              <w:t xml:space="preserve">Définition (</w:t>
            </w:r>
            <w:r>
              <w:t xml:space="preserve">)</w:t>
            </w:r>
          </w:p>
        </w:tc>
        <w:tc>
          <w:tcPr/>
          <w:p>
            <w:pPr>
              <w:pStyle w:val="Compact"/>
            </w:pPr>
            <w:r>
              <w:t xml:space="preserve">Fonction des couplages renormalisés (</w:t>
            </w:r>
            <w:r>
              <w:t xml:space="preserve">), (</w:t>
            </w:r>
            <w:r>
              <w:t xml:space="preserve">’)</w:t>
            </w:r>
          </w:p>
        </w:tc>
      </w:tr>
      <w:tr>
        <w:tc>
          <w:tcPr/>
          <w:p>
            <w:pPr>
              <w:pStyle w:val="Compact"/>
            </w:pPr>
            <w:r>
              <w:t xml:space="preserve">Valeur effective lept.</w:t>
            </w:r>
          </w:p>
        </w:tc>
        <w:tc>
          <w:tcPr/>
          <w:p>
            <w:pPr>
              <w:pStyle w:val="Compact"/>
            </w:pPr>
            <w:r>
              <w:t xml:space="preserve">(</w:t>
            </w:r>
            <w:r>
              <w:t xml:space="preserve">{s}_</w:t>
            </w:r>
            <w:r>
              <w:t xml:space="preserve">^2</w:t>
            </w:r>
            <w:r>
              <w:t xml:space="preserve"> </w:t>
            </w:r>
            <w:r>
              <w:t xml:space="preserve">23154)</w:t>
            </w:r>
          </w:p>
        </w:tc>
      </w:tr>
      <w:tr>
        <w:tc>
          <w:tcPr/>
          <w:p>
            <w:pPr>
              <w:pStyle w:val="Compact"/>
            </w:pPr>
            <w:r>
              <w:t xml:space="preserve">Dépendance d’échelle</w:t>
            </w:r>
          </w:p>
        </w:tc>
        <w:tc>
          <w:tcPr/>
          <w:p>
            <w:pPr>
              <w:pStyle w:val="Compact"/>
            </w:pPr>
            <w:r>
              <w:t xml:space="preserve">Oui, dans les schémas renormalisés</w:t>
            </w:r>
          </w:p>
        </w:tc>
      </w:tr>
      <w:tr>
        <w:tc>
          <w:tcPr/>
          <w:p>
            <w:pPr>
              <w:pStyle w:val="Compact"/>
            </w:pPr>
            <w:r>
              <w:t xml:space="preserve">Question centrale</w:t>
            </w:r>
          </w:p>
        </w:tc>
        <w:tc>
          <w:tcPr/>
          <w:p>
            <w:pPr>
              <w:pStyle w:val="Compact"/>
            </w:pPr>
            <w:r>
              <w:t xml:space="preserve">Comment un angle de mélange peut-il fonctionner comme constante stabilisée d’un régime électrofaible ?</w:t>
            </w:r>
          </w:p>
        </w:tc>
      </w:tr>
    </w:tbl>
    <w:bookmarkEnd w:id="28"/>
    <w:bookmarkStart w:id="29" w:name="catégorie-proposée"/>
    <w:p>
      <w:pPr>
        <w:pStyle w:val="Heading2"/>
      </w:pPr>
      <w:r>
        <w:t xml:space="preserve">9. Catégorie proposée</w:t>
      </w:r>
    </w:p>
    <w:p>
      <w:pPr>
        <w:pStyle w:val="FirstParagraph"/>
      </w:pPr>
      <w:r>
        <w:t xml:space="preserve">Le cas (</w:t>
      </w:r>
      <w:r>
        <w:t xml:space="preserve">_W) introduit la catégorie de</w:t>
      </w:r>
      <w:r>
        <w:t xml:space="preserve"> </w:t>
      </w:r>
      <w:r>
        <w:rPr>
          <w:b/>
          <w:bCs/>
        </w:rPr>
        <w:t xml:space="preserve">constante de mélange de jauge</w:t>
      </w:r>
      <w:r>
        <w:t xml:space="preserve">.</w:t>
      </w:r>
    </w:p>
    <w:p>
      <w:pPr>
        <w:pStyle w:val="BodyText"/>
      </w:pPr>
      <w:r>
        <w:t xml:space="preserve">Une constante de mélange de jauge désigne un paramètre sans dimension qui fixe l’orientation relative entre plusieurs champs ou secteurs de jauge, et qui devient lisible dans un régime physique donné à travers des champs observables, des masses et des couplages effectifs.</w:t>
      </w:r>
    </w:p>
    <w:p>
      <w:pPr>
        <w:pStyle w:val="BodyText"/>
      </w:pPr>
      <w:r>
        <w:t xml:space="preserve">Dans le cas de (</w:t>
      </w:r>
      <w:r>
        <w:rPr>
          <w:i/>
          <w:iCs/>
        </w:rPr>
        <w:t xml:space="preserve">W), le paramètre organise le passage des champs neutres (B</w:t>
      </w:r>
      <w:r>
        <w:t xml:space="preserve">) et (W^3_</w:t>
      </w:r>
      <w:r>
        <w:t xml:space="preserve">) aux champs physiques (A_</w:t>
      </w:r>
      <w:r>
        <w:t xml:space="preserve">) et (Z_</w:t>
      </w:r>
      <w:r>
        <w:t xml:space="preserve">). Il détermine aussi la manière dont les courants neutres faibles se couplent aux fermions. Sa constance n’est donc pas seulement celle d’un nombre ; elle est celle d’une orientation stabilisée dans la structure électrofaible.</w:t>
      </w:r>
    </w:p>
    <w:p>
      <w:pPr>
        <w:pStyle w:val="BodyText"/>
      </w:pPr>
      <w:r>
        <w:t xml:space="preserve">Cette catégorie permet d’éviter deux confusions.</w:t>
      </w:r>
    </w:p>
    <w:p>
      <w:pPr>
        <w:pStyle w:val="BodyText"/>
      </w:pPr>
      <w:r>
        <w:t xml:space="preserve">Première confusion : prendre (</w:t>
      </w:r>
      <w:r>
        <w:t xml:space="preserve">_W) pour une simple constante numérique.</w:t>
      </w:r>
    </w:p>
    <w:p>
      <w:pPr>
        <w:pStyle w:val="BodyText"/>
      </w:pPr>
      <w:r>
        <w:t xml:space="preserve">Deuxième confusion : ignorer la dépendance au schéma de renormalisation, à l’échelle et à l’observable.</w:t>
      </w:r>
    </w:p>
    <w:bookmarkEnd w:id="29"/>
    <w:bookmarkStart w:id="30" w:name="formulation-provisoire"/>
    <w:p>
      <w:pPr>
        <w:pStyle w:val="Heading2"/>
      </w:pPr>
      <w:r>
        <w:t xml:space="preserve">10. Formulation provisoire</w:t>
      </w:r>
    </w:p>
    <w:p>
      <w:pPr>
        <w:pStyle w:val="FirstParagraph"/>
      </w:pPr>
      <w:r>
        <w:t xml:space="preserve">L’angle faible peut être compris comme une constante effective stabilisée de mélange électrofaible. Il fixe l’orientation entre les champs neutres initiaux de (SU(2)_L) et (U(1)_Y), rendant possibles le photon, le boson (Z), la charge électrique résiduelle et la structure des courants neutres faibles.</w:t>
      </w:r>
    </w:p>
    <w:p>
      <w:pPr>
        <w:pStyle w:val="BodyText"/>
      </w:pPr>
      <w:r>
        <w:t xml:space="preserve">La question pertinente devient donc :</w:t>
      </w:r>
    </w:p>
    <w:p>
      <w:pPr>
        <w:pStyle w:val="BodyText"/>
      </w:pPr>
      <w:r>
        <w:t xml:space="preserve">**À quelles conditions (</w:t>
      </w:r>
      <w:r>
        <w:t xml:space="preserve">_W) peut-il être traité comme une constante stabilisée, alors que sa valeur dépend du schéma de renormalisation, de l’échelle et du type d’observable utilisé pour l’extraire ?**</w:t>
      </w:r>
    </w:p>
    <w:bookmarkEnd w:id="30"/>
    <w:bookmarkStart w:id="31" w:name="fonction-dans-lenquête-générale"/>
    <w:p>
      <w:pPr>
        <w:pStyle w:val="Heading2"/>
      </w:pPr>
      <w:r>
        <w:t xml:space="preserve">11. Fonction dans l’enquête générale</w:t>
      </w:r>
    </w:p>
    <w:p>
      <w:pPr>
        <w:pStyle w:val="FirstParagraph"/>
      </w:pPr>
      <w:r>
        <w:t xml:space="preserve">Cette fiche ajoute à la cartographie un type de constante qui ne mesure pas seulement une intensité, une masse ou une échelle, mais une orientation structurelle. (</w:t>
      </w:r>
      <w:r>
        <w:t xml:space="preserve">_W) montre qu’une constante peut être un paramètre de mélange : elle stabilise une relation entre champs, couplages et observables.</w:t>
      </w:r>
    </w:p>
    <w:p>
      <w:pPr>
        <w:pStyle w:val="BodyText"/>
      </w:pPr>
      <w:r>
        <w:t xml:space="preserve">Elle prépare un passage prudent vers les constantes cosmologiques, où le statut de</w:t>
      </w:r>
      <w:r>
        <w:t xml:space="preserve"> </w:t>
      </w:r>
      <w:r>
        <w:t xml:space="preserve">“constante”</w:t>
      </w:r>
      <w:r>
        <w:t xml:space="preserve"> </w:t>
      </w:r>
      <w:r>
        <w:t xml:space="preserve">devient encore plus délicat : il faudra distinguer valeur observée, paramètre de modèle, densité effective, pression, équation d’état et rôle dans l’évolution globale de l’univers.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2026-07-08T18:12:28Z</dcterms:created>
  <dcterms:modified xsi:type="dcterms:W3CDTF">2026-07-08T18:12:28Z</dcterms:modified>
</cp:coreProperties>
</file>

<file path=docProps/custom.xml><?xml version="1.0" encoding="utf-8"?>
<Properties xmlns="http://schemas.openxmlformats.org/officeDocument/2006/custom-properties" xmlns:vt="http://schemas.openxmlformats.org/officeDocument/2006/docPropsVTypes"/>
</file>