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fiche-neutrinos-v0.1"/>
    <w:p>
      <w:pPr>
        <w:pStyle w:val="Heading1"/>
      </w:pPr>
      <w:r>
        <w:t xml:space="preserve">Fiche neutrinos v0.1</w:t>
      </w:r>
    </w:p>
    <w:bookmarkStart w:id="20" w:name="X537e6543d71ce466870ed56a924b6287ee47c87"/>
    <w:p>
      <w:pPr>
        <w:pStyle w:val="Heading2"/>
      </w:pPr>
      <w:r>
        <w:t xml:space="preserve">Masses, différences de masses, angles de mélange et régime oscillatoire</w:t>
      </w:r>
    </w:p>
    <w:bookmarkEnd w:id="20"/>
    <w:bookmarkStart w:id="21" w:name="identification"/>
    <w:p>
      <w:pPr>
        <w:pStyle w:val="Heading2"/>
      </w:pPr>
      <w:r>
        <w:t xml:space="preserve">1. Identification</w:t>
      </w:r>
    </w:p>
    <w:p>
      <w:pPr>
        <w:pStyle w:val="FirstParagraph"/>
      </w:pPr>
      <w:r>
        <w:t xml:space="preserve">Le secteur neutrino introduit un cas très particulier dans la cartographie des constantes effectives stabilisées. Les grandeurs pertinentes ne sont pas seulement des masses, mais un ensemble structuré :</w:t>
      </w:r>
    </w:p>
    <w:p>
      <w:pPr>
        <w:pStyle w:val="BodyText"/>
      </w:pPr>
      <w:r>
        <w:t xml:space="preserve">[</w:t>
      </w:r>
      <w:r>
        <w:t xml:space="preserve"> </w:t>
      </w:r>
      <w:r>
        <w:t xml:space="preserve">m_1, m_2, m_3</w:t>
      </w:r>
      <w:r>
        <w:t xml:space="preserve"> </w:t>
      </w:r>
      <w:r>
        <w:t xml:space="preserve">]</w:t>
      </w:r>
    </w:p>
    <w:p>
      <w:pPr>
        <w:pStyle w:val="BodyText"/>
      </w:pPr>
      <w:r>
        <w:t xml:space="preserve">[</w:t>
      </w:r>
      <w:r>
        <w:t xml:space="preserve"> </w:t>
      </w:r>
      <w:r>
        <w:t xml:space="preserve">m</w:t>
      </w:r>
      <w:r>
        <w:rPr>
          <w:vertAlign w:val="superscript"/>
        </w:rPr>
        <w:t xml:space="preserve">2_{21},</w:t>
      </w:r>
      <w:r>
        <w:rPr>
          <w:vertAlign w:val="superscript"/>
        </w:rPr>
        <w:t xml:space="preserve">m</w:t>
      </w:r>
      <w:r>
        <w:t xml:space="preserve">2_{31},</w:t>
      </w:r>
      <w:r>
        <w:t xml:space="preserve">m^2_{32}</w:t>
      </w:r>
      <w:r>
        <w:t xml:space="preserve"> </w:t>
      </w:r>
      <w:r>
        <w:t xml:space="preserve">]</w:t>
      </w:r>
    </w:p>
    <w:p>
      <w:pPr>
        <w:pStyle w:val="BodyText"/>
      </w:pPr>
      <w:r>
        <w:t xml:space="preserve">[</w:t>
      </w:r>
      <w:r>
        <w:t xml:space="preserve"> </w:t>
      </w:r>
      <w:r>
        <w:rPr>
          <w:i/>
          <w:iCs/>
        </w:rPr>
        <w:t xml:space="preserve">{12},</w:t>
      </w:r>
      <w:r>
        <w:t xml:space="preserve">{23},</w:t>
      </w:r>
      <w:r>
        <w:t xml:space="preserve">_{13}</w:t>
      </w:r>
      <w:r>
        <w:t xml:space="preserve"> </w:t>
      </w:r>
      <w:r>
        <w:t xml:space="preserve">]</w:t>
      </w:r>
    </w:p>
    <w:p>
      <w:pPr>
        <w:pStyle w:val="BodyText"/>
      </w:pPr>
      <w:r>
        <w:t xml:space="preserve">[</w:t>
      </w:r>
      <w:r>
        <w:t xml:space="preserve"> </w:t>
      </w:r>
      <w:r>
        <w:t xml:space="preserve">_{</w:t>
      </w:r>
      <w:r>
        <w:t xml:space="preserve">}</w:t>
      </w:r>
      <w:r>
        <w:t xml:space="preserve"> </w:t>
      </w:r>
      <w:r>
        <w:t xml:space="preserve">]</w:t>
      </w:r>
    </w:p>
    <w:p>
      <w:pPr>
        <w:pStyle w:val="BodyText"/>
      </w:pPr>
      <w:r>
        <w:t xml:space="preserve">Ces grandeurs apparaissent dans le cadre des oscillations de neutrinos. Les neutrinos produits et détectés dans les interactions faibles sont des états de saveur :</w:t>
      </w:r>
    </w:p>
    <w:p>
      <w:pPr>
        <w:pStyle w:val="BodyText"/>
      </w:pPr>
      <w:r>
        <w:t xml:space="preserve">[</w:t>
      </w:r>
      <w:r>
        <w:t xml:space="preserve"> </w:t>
      </w:r>
      <w:r>
        <w:rPr>
          <w:i/>
          <w:iCs/>
        </w:rPr>
        <w:t xml:space="preserve">e,</w:t>
      </w:r>
      <w:r>
        <w:t xml:space="preserve">,</w:t>
      </w:r>
      <w:r>
        <w:t xml:space="preserve">_</w:t>
      </w:r>
      <w:r>
        <w:t xml:space="preserve"> </w:t>
      </w:r>
      <w:r>
        <w:t xml:space="preserve">]</w:t>
      </w:r>
    </w:p>
    <w:p>
      <w:pPr>
        <w:pStyle w:val="BodyText"/>
      </w:pPr>
      <w:r>
        <w:t xml:space="preserve">mais ils se propagent comme superpositions d’états de masse :</w:t>
      </w:r>
    </w:p>
    <w:p>
      <w:pPr>
        <w:pStyle w:val="BodyText"/>
      </w:pPr>
      <w:r>
        <w:t xml:space="preserve">[</w:t>
      </w:r>
      <w:r>
        <w:t xml:space="preserve"> </w:t>
      </w:r>
      <w:r>
        <w:t xml:space="preserve">_1,</w:t>
      </w:r>
      <w:r>
        <w:t xml:space="preserve">_2,</w:t>
      </w:r>
      <w:r>
        <w:t xml:space="preserve">_3</w:t>
      </w:r>
      <w:r>
        <w:t xml:space="preserve"> </w:t>
      </w:r>
      <w:r>
        <w:t xml:space="preserve">]</w:t>
      </w:r>
    </w:p>
    <w:p>
      <w:pPr>
        <w:pStyle w:val="BodyText"/>
      </w:pPr>
      <w:r>
        <w:t xml:space="preserve">La relation entre états de saveur et états de masse est décrite par la matrice PMNS, paramétrée par trois angles de mélange et une phase de violation CP dans le cas des oscillations. Le PDG rappelle que les phases de Majorana, si les neutrinos sont de Majorana, ne jouent pas de rôle dans les oscillations de neutrinos.</w:t>
      </w:r>
    </w:p>
    <w:bookmarkEnd w:id="21"/>
    <w:bookmarkStart w:id="22" w:name="statut-dans-le-modèle-standard"/>
    <w:p>
      <w:pPr>
        <w:pStyle w:val="Heading2"/>
      </w:pPr>
      <w:r>
        <w:t xml:space="preserve">2. Statut dans le Modèle standard</w:t>
      </w:r>
    </w:p>
    <w:p>
      <w:pPr>
        <w:pStyle w:val="FirstParagraph"/>
      </w:pPr>
      <w:r>
        <w:t xml:space="preserve">Dans le Modèle standard minimal, les neutrinos sont massless au niveau du lagrangien. Le modèle contient des neutrinos gauches actifs, mais pas de neutrinos droits. Il n’est donc pas possible d’écrire les mêmes termes de Yukawa que pour les fermions chargés. Le PDG indique explicitement que, dans le Modèle standard minimal, les neutrinos sont précisément sans masse, et qu’introduire une masse de neutrino impose d’étendre le modèle ou d’ajouter de nouveaux opérateurs/degrés de liberté.</w:t>
      </w:r>
    </w:p>
    <w:p>
      <w:pPr>
        <w:pStyle w:val="BodyText"/>
      </w:pPr>
      <w:r>
        <w:t xml:space="preserve">Ce point donne au secteur neutrino un statut décisif. Les oscillations de neutrinos démontrent que les neutrinos ont des masses non nulles et que les saveurs leptoniques se mélangent. Elles constituent donc une indication robuste de physique au-delà du Modèle standard minimal.</w:t>
      </w:r>
    </w:p>
    <w:p>
      <w:pPr>
        <w:pStyle w:val="BodyText"/>
      </w:pPr>
      <w:r>
        <w:t xml:space="preserve">La question de la constance doit être posée avec prudence : les oscillations ne mesurent pas directement les masses absolues (m_i). Elles mesurent principalement des différences de masses au carré et des angles de mélange.</w:t>
      </w:r>
    </w:p>
    <w:bookmarkEnd w:id="22"/>
    <w:bookmarkStart w:id="23" w:name="grandeurs-oscillatoires"/>
    <w:p>
      <w:pPr>
        <w:pStyle w:val="Heading2"/>
      </w:pPr>
      <w:r>
        <w:t xml:space="preserve">3. Grandeurs oscillatoires</w:t>
      </w:r>
    </w:p>
    <w:p>
      <w:pPr>
        <w:pStyle w:val="FirstParagraph"/>
      </w:pPr>
      <w:r>
        <w:t xml:space="preserve">Les oscillations dépendent des phases accumulées pendant la propagation. Dans le cas simplifié à deux saveurs, la probabilité d’oscillation contient un terme du type :</w:t>
      </w:r>
    </w:p>
    <w:p>
      <w:pPr>
        <w:pStyle w:val="BodyText"/>
      </w:pPr>
      <w:r>
        <w:t xml:space="preserve">[</w:t>
      </w:r>
      <w:r>
        <w:t xml:space="preserve"> </w:t>
      </w:r>
      <w:r>
        <w:t xml:space="preserve">^2</w:t>
      </w:r>
      <w:r>
        <w:t xml:space="preserve">(</w:t>
      </w:r>
      <w:r>
        <w:t xml:space="preserve">)</w:t>
      </w:r>
      <w:r>
        <w:t xml:space="preserve"> </w:t>
      </w:r>
      <w:r>
        <w:t xml:space="preserve">]</w:t>
      </w:r>
    </w:p>
    <w:p>
      <w:pPr>
        <w:pStyle w:val="BodyText"/>
      </w:pPr>
      <w:r>
        <w:t xml:space="preserve">où (L) est la distance parcourue, (E) l’énergie du neutrino et (</w:t>
      </w:r>
      <w:r>
        <w:t xml:space="preserve">m^2) une différence de masses au carré.</w:t>
      </w:r>
    </w:p>
    <w:p>
      <w:pPr>
        <w:pStyle w:val="BodyText"/>
      </w:pPr>
      <w:r>
        <w:t xml:space="preserve">Le contenu physique central n’est donc pas seulement une masse isolée. C’est une relation entre :</w:t>
      </w:r>
    </w:p>
    <w:p>
      <w:pPr>
        <w:pStyle w:val="BodyText"/>
      </w:pPr>
      <w:r>
        <w:t xml:space="preserve">[</w:t>
      </w:r>
      <w:r>
        <w:t xml:space="preserve"> </w:t>
      </w:r>
      <w:r>
        <w:t xml:space="preserve">m^2,</w:t>
      </w:r>
      <w:r>
        <w:t xml:space="preserve">L,</w:t>
      </w:r>
      <w:r>
        <w:t xml:space="preserve">E</w:t>
      </w:r>
      <w:r>
        <w:t xml:space="preserve"> </w:t>
      </w:r>
      <w:r>
        <w:t xml:space="preserve">]</w:t>
      </w:r>
    </w:p>
    <w:p>
      <w:pPr>
        <w:pStyle w:val="BodyText"/>
      </w:pPr>
      <w:r>
        <w:t xml:space="preserve">Les différences de masses au carré sont dimensionnées, mais elles deviennent observables dans des combinaisons sans dimension. Cela fait du secteur neutrino un cas intéressant : la grandeur fondamentale dans l’analyse expérimentale n’est pas</w:t>
      </w:r>
      <w:r>
        <w:t xml:space="preserve"> </w:t>
      </w:r>
      <w:r>
        <w:t xml:space="preserve">“la masse du neutrino”</w:t>
      </w:r>
      <w:r>
        <w:t xml:space="preserve"> </w:t>
      </w:r>
      <w:r>
        <w:t xml:space="preserve">au singulier, mais un ensemble de phases relatives mesurables.</w:t>
      </w:r>
    </w:p>
    <w:p>
      <w:pPr>
        <w:pStyle w:val="BodyText"/>
      </w:pPr>
      <w:r>
        <w:t xml:space="preserve">Dans le cadre à trois saveurs, les paramètres principaux sont :</w:t>
      </w:r>
    </w:p>
    <w:p>
      <w:pPr>
        <w:pStyle w:val="BodyText"/>
      </w:pPr>
      <w:r>
        <w:t xml:space="preserve">[</w:t>
      </w:r>
      <w:r>
        <w:t xml:space="preserve"> </w:t>
      </w:r>
      <w:r>
        <w:t xml:space="preserve">m^2_{21}</w:t>
      </w:r>
      <w:r>
        <w:t xml:space="preserve"> </w:t>
      </w:r>
      <w:r>
        <w:t xml:space="preserve">]</w:t>
      </w:r>
    </w:p>
    <w:p>
      <w:pPr>
        <w:pStyle w:val="BodyText"/>
      </w:pPr>
      <w:r>
        <w:t xml:space="preserve">[</w:t>
      </w:r>
      <w:r>
        <w:t xml:space="preserve"> </w:t>
      </w:r>
      <w:r>
        <w:t xml:space="preserve">m^2_{3</w:t>
      </w:r>
      <w:r>
        <w:t xml:space="preserve">}</w:t>
      </w:r>
      <w:r>
        <w:t xml:space="preserve"> </w:t>
      </w:r>
      <w:r>
        <w:t xml:space="preserve">]</w:t>
      </w:r>
    </w:p>
    <w:p>
      <w:pPr>
        <w:pStyle w:val="BodyText"/>
      </w:pPr>
      <w:r>
        <w:t xml:space="preserve">[</w:t>
      </w:r>
      <w:r>
        <w:t xml:space="preserve"> </w:t>
      </w:r>
      <w:r>
        <w:rPr>
          <w:i/>
          <w:iCs/>
        </w:rPr>
        <w:t xml:space="preserve">{12},</w:t>
      </w:r>
      <w:r>
        <w:t xml:space="preserve">{23},</w:t>
      </w:r>
      <w:r>
        <w:t xml:space="preserve">_{13}</w:t>
      </w:r>
      <w:r>
        <w:t xml:space="preserve"> </w:t>
      </w:r>
      <w:r>
        <w:t xml:space="preserve">]</w:t>
      </w:r>
    </w:p>
    <w:p>
      <w:pPr>
        <w:pStyle w:val="BodyText"/>
      </w:pPr>
      <w:r>
        <w:t xml:space="preserve">[</w:t>
      </w:r>
      <w:r>
        <w:t xml:space="preserve"> </w:t>
      </w:r>
      <w:r>
        <w:t xml:space="preserve">_{</w:t>
      </w:r>
      <w:r>
        <w:t xml:space="preserve">}</w:t>
      </w:r>
      <w:r>
        <w:t xml:space="preserve"> </w:t>
      </w:r>
      <w:r>
        <w:t xml:space="preserve">]</w:t>
      </w:r>
    </w:p>
    <w:p>
      <w:pPr>
        <w:pStyle w:val="BodyText"/>
      </w:pPr>
      <w:r>
        <w:t xml:space="preserve">NuFIT 6.0, publié en 2024 et fondé sur les données disponibles jusqu’en septembre 2024, indique que (</w:t>
      </w:r>
      <w:r>
        <w:rPr>
          <w:i/>
          <w:iCs/>
        </w:rPr>
        <w:t xml:space="preserve">{12}), (</w:t>
      </w:r>
      <w:r>
        <w:t xml:space="preserve">{13}), (</w:t>
      </w:r>
      <w:r>
        <w:t xml:space="preserve">m^2_{21}) et (|</w:t>
      </w:r>
      <w:r>
        <w:t xml:space="preserve">m^2_{3</w:t>
      </w:r>
      <w:r>
        <w:t xml:space="preserve">}|) sont bien déterminés, tandis que (</w:t>
      </w:r>
      <w:r>
        <w:rPr>
          <w:i/>
          <w:iCs/>
        </w:rPr>
        <w:t xml:space="preserve">{23}), l’ordre des masses et la phase (</w:t>
      </w:r>
      <w:r>
        <w:t xml:space="preserve">{</w:t>
      </w:r>
      <w:r>
        <w:t xml:space="preserve">}) restent moins stabilisés.</w:t>
      </w:r>
    </w:p>
    <w:bookmarkEnd w:id="23"/>
    <w:bookmarkStart w:id="24" w:name="ordre-normal-ordre-inversé-masse-absolue"/>
    <w:p>
      <w:pPr>
        <w:pStyle w:val="Heading2"/>
      </w:pPr>
      <w:r>
        <w:t xml:space="preserve">4. Ordre normal, ordre inversé, masse absolue</w:t>
      </w:r>
    </w:p>
    <w:p>
      <w:pPr>
        <w:pStyle w:val="FirstParagraph"/>
      </w:pPr>
      <w:r>
        <w:t xml:space="preserve">Les oscillations permettent de mesurer des écarts entre masses, mais elles ne fixent pas directement l’échelle absolue des masses.</w:t>
      </w:r>
    </w:p>
    <w:p>
      <w:pPr>
        <w:pStyle w:val="BodyText"/>
      </w:pPr>
      <w:r>
        <w:t xml:space="preserve">Deux ordres restent considérés :</w:t>
      </w:r>
    </w:p>
    <w:p>
      <w:pPr>
        <w:pStyle w:val="BodyText"/>
      </w:pPr>
      <w:r>
        <w:t xml:space="preserve">[</w:t>
      </w:r>
      <w:r>
        <w:t xml:space="preserve"> </w:t>
      </w:r>
      <w:r>
        <w:t xml:space="preserve"> </w:t>
      </w:r>
      <w:r>
        <w:t xml:space="preserve">m_1 &lt; m_2 &lt; m_3</w:t>
      </w:r>
      <w:r>
        <w:t xml:space="preserve"> </w:t>
      </w:r>
      <w:r>
        <w:t xml:space="preserve">]</w:t>
      </w:r>
    </w:p>
    <w:p>
      <w:pPr>
        <w:pStyle w:val="BodyText"/>
      </w:pPr>
      <w:r>
        <w:t xml:space="preserve">[</w:t>
      </w:r>
      <w:r>
        <w:t xml:space="preserve"> </w:t>
      </w:r>
      <w:r>
        <w:t xml:space="preserve"> </w:t>
      </w:r>
      <w:r>
        <w:t xml:space="preserve">m_3 &lt; m_1 &lt; m_2</w:t>
      </w:r>
      <w:r>
        <w:t xml:space="preserve"> </w:t>
      </w:r>
      <w:r>
        <w:t xml:space="preserve">]</w:t>
      </w:r>
    </w:p>
    <w:p>
      <w:pPr>
        <w:pStyle w:val="BodyText"/>
      </w:pPr>
      <w:r>
        <w:t xml:space="preserve">NuFIT 6.0 indique que les données ont une sensibilité de l’ordre de (2{,}5) à (3</w:t>
      </w:r>
      <w:r>
        <w:t xml:space="preserve">) à l’ordre des masses, mais que les tendances entre jeux de données réduisent la discrimination effective. Avec certaines données atmosphériques Super-Kamiokande ajoutées, l’ordre normal est préféré avec (</w:t>
      </w:r>
      <w:r>
        <w:t xml:space="preserve">^2 = 6{,}1), mais le paysage reste méthodologiquement prudent.</w:t>
      </w:r>
    </w:p>
    <w:p>
      <w:pPr>
        <w:pStyle w:val="BodyText"/>
      </w:pPr>
      <w:r>
        <w:t xml:space="preserve">La masse absolue est contrainte par trois familles d’observations :</w:t>
      </w:r>
    </w:p>
    <w:p>
      <w:pPr>
        <w:numPr>
          <w:ilvl w:val="0"/>
          <w:numId w:val="1001"/>
        </w:numPr>
      </w:pPr>
      <w:r>
        <w:t xml:space="preserve">les mesures cinématiques, notamment la désintégration bêta du tritium ;</w:t>
      </w:r>
    </w:p>
    <w:p>
      <w:pPr>
        <w:numPr>
          <w:ilvl w:val="0"/>
          <w:numId w:val="1001"/>
        </w:numPr>
      </w:pPr>
      <w:r>
        <w:t xml:space="preserve">la cosmologie, via la somme des masses (</w:t>
      </w:r>
      <w:r>
        <w:t xml:space="preserve">m_</w:t>
      </w:r>
      <w:r>
        <w:t xml:space="preserve">) ;</w:t>
      </w:r>
    </w:p>
    <w:p>
      <w:pPr>
        <w:numPr>
          <w:ilvl w:val="0"/>
          <w:numId w:val="1001"/>
        </w:numPr>
      </w:pPr>
      <w:r>
        <w:t xml:space="preserve">la double désintégration bêta sans neutrino, si les neutrinos sont de Majorana.</w:t>
      </w:r>
    </w:p>
    <w:p>
      <w:pPr>
        <w:pStyle w:val="FirstParagraph"/>
      </w:pPr>
      <w:r>
        <w:t xml:space="preserve">KATRIN a rapporté, sur 259 jours de données, une limite supérieure directe :</w:t>
      </w:r>
    </w:p>
    <w:p>
      <w:pPr>
        <w:pStyle w:val="BodyText"/>
      </w:pPr>
      <w:r>
        <w:t xml:space="preserve">[</w:t>
      </w:r>
      <w:r>
        <w:t xml:space="preserve"> </w:t>
      </w:r>
      <w:r>
        <w:t xml:space="preserve">m_</w:t>
      </w:r>
      <w:r>
        <w:t xml:space="preserve">&lt; 0{,}45 </w:t>
      </w:r>
      <w:r>
        <w:t xml:space="preserve"> </w:t>
      </w:r>
      <w:r>
        <w:t xml:space="preserve">]</w:t>
      </w:r>
    </w:p>
    <w:p>
      <w:pPr>
        <w:pStyle w:val="BodyText"/>
      </w:pPr>
      <w:r>
        <w:t xml:space="preserve">à 90 % de niveau de confiance, à partir de la spectroscopie de la désintégration bêta du tritium.</w:t>
      </w:r>
    </w:p>
    <w:bookmarkEnd w:id="24"/>
    <w:bookmarkStart w:id="25" w:name="dirac-ou-majorana"/>
    <w:p>
      <w:pPr>
        <w:pStyle w:val="Heading2"/>
      </w:pPr>
      <w:r>
        <w:t xml:space="preserve">5. Dirac ou Majorana</w:t>
      </w:r>
    </w:p>
    <w:p>
      <w:pPr>
        <w:pStyle w:val="FirstParagraph"/>
      </w:pPr>
      <w:r>
        <w:t xml:space="preserve">La nature des neutrinos reste ouverte. Deux possibilités principales sont discutées.</w:t>
      </w:r>
    </w:p>
    <w:p>
      <w:pPr>
        <w:pStyle w:val="BodyText"/>
      </w:pPr>
      <w:r>
        <w:t xml:space="preserve">Dans le cas Dirac, le neutrino possède un état droit stérile et la masse est analogue, formellement, aux masses des autres fermions, via un couplage de Yukawa extrêmement petit.</w:t>
      </w:r>
    </w:p>
    <w:p>
      <w:pPr>
        <w:pStyle w:val="BodyText"/>
      </w:pPr>
      <w:r>
        <w:t xml:space="preserve">Dans le cas Majorana, le neutrino est sa propre antiparticule, et la masse viole le nombre leptonique de deux unités. Le PDG présente les deux possibilités dans le cadre des extensions du Modèle standard : masse de Dirac par ajout de neutrinos stériles droits, masse de Majorana via termes autorisés pour des singlets ou opérateurs effectifs.</w:t>
      </w:r>
    </w:p>
    <w:p>
      <w:pPr>
        <w:pStyle w:val="BodyText"/>
      </w:pPr>
      <w:r>
        <w:t xml:space="preserve">Cette distinction est capitale pour notre enquête. La masse des neutrinos n’est pas seulement une petite masse fermionique supplémentaire. Elle peut signaler une structure de masse différente, un nouveau mécanisme de stabilisation et une échelle physique non directement visible.</w:t>
      </w:r>
    </w:p>
    <w:p>
      <w:pPr>
        <w:pStyle w:val="BodyText"/>
      </w:pPr>
      <w:r>
        <w:t xml:space="preserve">Le mécanisme de seesaw, par exemple, permet d’obtenir des masses de neutrinos très faibles à partir d’une échelle lourde associée à des neutrinos droits de Majorana. La petitesse de (m_</w:t>
      </w:r>
      <w:r>
        <w:t xml:space="preserve">) pourrait alors être la trace basse énergie d’une hiérarchie plus profonde.</w:t>
      </w:r>
    </w:p>
    <w:bookmarkEnd w:id="25"/>
    <w:bookmarkStart w:id="26" w:name="mélange-leptonique"/>
    <w:p>
      <w:pPr>
        <w:pStyle w:val="Heading2"/>
      </w:pPr>
      <w:r>
        <w:t xml:space="preserve">6. Mélange leptonique</w:t>
      </w:r>
    </w:p>
    <w:p>
      <w:pPr>
        <w:pStyle w:val="FirstParagraph"/>
      </w:pPr>
      <w:r>
        <w:t xml:space="preserve">Les angles de mélange neutrino sont très différents des mélanges du secteur quark. Les angles (</w:t>
      </w:r>
      <w:r>
        <w:rPr>
          <w:i/>
          <w:iCs/>
        </w:rPr>
        <w:t xml:space="preserve">{12}) et (</w:t>
      </w:r>
      <w:r>
        <w:t xml:space="preserve">{23}) sont grands, tandis que (</w:t>
      </w:r>
      <w:r>
        <w:t xml:space="preserve">_{13}) est non nul mais plus petit.</w:t>
      </w:r>
    </w:p>
    <w:p>
      <w:pPr>
        <w:pStyle w:val="BodyText"/>
      </w:pPr>
      <w:r>
        <w:t xml:space="preserve">La matrice PMNS organise la relation entre saveur et masse :</w:t>
      </w:r>
    </w:p>
    <w:p>
      <w:pPr>
        <w:pStyle w:val="BodyText"/>
      </w:pPr>
      <w:r>
        <w:t xml:space="preserve">[</w:t>
      </w:r>
      <w:r>
        <w:t xml:space="preserve"> </w:t>
      </w:r>
      <w:r>
        <w:t xml:space="preserve">|</w:t>
      </w:r>
      <w:r>
        <w:t xml:space="preserve">_</w:t>
      </w:r>
      <w:r>
        <w:t xml:space="preserve">=</w:t>
      </w:r>
      <w:r>
        <w:t xml:space="preserve"> </w:t>
      </w:r>
      <w:r>
        <w:rPr>
          <w:i/>
          <w:iCs/>
        </w:rPr>
        <w:t xml:space="preserve">i U</w:t>
      </w:r>
      <w:r>
        <w:t xml:space="preserve">{</w:t>
      </w:r>
      <w:r>
        <w:t xml:space="preserve">i}^* |</w:t>
      </w:r>
      <w:r>
        <w:t xml:space="preserve">_i</w:t>
      </w:r>
      <w:r>
        <w:t xml:space="preserve"> </w:t>
      </w:r>
      <w:r>
        <w:t xml:space="preserve">]</w:t>
      </w:r>
    </w:p>
    <w:p>
      <w:pPr>
        <w:pStyle w:val="BodyText"/>
      </w:pPr>
      <w:r>
        <w:t xml:space="preserve">où (</w:t>
      </w:r>
      <w:r>
        <w:t xml:space="preserve">= e,</w:t>
      </w:r>
      <w:r>
        <w:t xml:space="preserve">,</w:t>
      </w:r>
      <w:r>
        <w:t xml:space="preserve">) et (i=1,2,3).</w:t>
      </w:r>
    </w:p>
    <w:p>
      <w:pPr>
        <w:pStyle w:val="BodyText"/>
      </w:pPr>
      <w:r>
        <w:t xml:space="preserve">La phase (</w:t>
      </w:r>
      <w:r>
        <w:t xml:space="preserve">_{</w:t>
      </w:r>
      <w:r>
        <w:t xml:space="preserve">}) contrôle une possible violation CP dans les oscillations. NuFIT 6.0 indique que son statut dépend de l’ordre des masses : pour l’ordre normal, le fit global reste compatible avec la conservation CP à (1</w:t>
      </w:r>
      <w:r>
        <w:t xml:space="preserve">), tandis que pour l’ordre inversé, des valeurs autour de (270^</w:t>
      </w:r>
      <w:r>
        <w:t xml:space="preserve">) sont favorisées contre la conservation CP à plus de (3{,}6</w:t>
      </w:r>
      <w:r>
        <w:t xml:space="preserve">).</w:t>
      </w:r>
    </w:p>
    <w:p>
      <w:pPr>
        <w:pStyle w:val="BodyText"/>
      </w:pPr>
      <w:r>
        <w:t xml:space="preserve">Ici encore, la prudence s’impose. (</w:t>
      </w:r>
      <w:r>
        <w:rPr>
          <w:i/>
          <w:iCs/>
        </w:rPr>
        <w:t xml:space="preserve">{</w:t>
      </w:r>
      <w:r>
        <w:rPr>
          <w:i/>
          <w:iCs/>
        </w:rPr>
        <w:t xml:space="preserve">}) n’est pas encore une constante stabilisée au même niveau que (</w:t>
      </w:r>
      <w:r>
        <w:rPr>
          <w:i/>
          <w:iCs/>
        </w:rPr>
        <w:t xml:space="preserve">m^2</w:t>
      </w:r>
      <w:r>
        <w:t xml:space="preserve">{21}) ou (</w:t>
      </w:r>
      <w:r>
        <w:t xml:space="preserve">_{13}). Elle est une phase de mélange en cours de détermination.</w:t>
      </w:r>
    </w:p>
    <w:bookmarkEnd w:id="26"/>
    <w:bookmarkStart w:id="27" w:name="X08de553b9aa0a801f4a846909bbfb90935528a5"/>
    <w:p>
      <w:pPr>
        <w:pStyle w:val="Heading2"/>
      </w:pPr>
      <w:r>
        <w:t xml:space="preserve">7. Lecture par la grille des constantes effectives stabilisées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Critère</w:t>
            </w:r>
          </w:p>
        </w:tc>
        <w:tc>
          <w:tcPr/>
          <w:p>
            <w:pPr>
              <w:pStyle w:val="Compact"/>
            </w:pPr>
            <w:r>
              <w:t xml:space="preserve">Lecture pour le secteur neutrino</w:t>
            </w:r>
          </w:p>
        </w:tc>
      </w:tr>
      <w:tr>
        <w:tc>
          <w:tcPr/>
          <w:p>
            <w:pPr>
              <w:pStyle w:val="Compact"/>
            </w:pPr>
            <w:r>
              <w:t xml:space="preserve">Type de grandeurs</w:t>
            </w:r>
          </w:p>
        </w:tc>
        <w:tc>
          <w:tcPr/>
          <w:p>
            <w:pPr>
              <w:pStyle w:val="Compact"/>
            </w:pPr>
            <w:r>
              <w:t xml:space="preserve">Masses, différences de masses au carré, angles de mélange, phase CP</w:t>
            </w:r>
          </w:p>
        </w:tc>
      </w:tr>
      <w:tr>
        <w:tc>
          <w:tcPr/>
          <w:p>
            <w:pPr>
              <w:pStyle w:val="Compact"/>
            </w:pPr>
            <w:r>
              <w:t xml:space="preserve">Grandeurs directement oscillatoires</w:t>
            </w:r>
          </w:p>
        </w:tc>
        <w:tc>
          <w:tcPr/>
          <w:p>
            <w:pPr>
              <w:pStyle w:val="Compact"/>
            </w:pPr>
            <w:r>
              <w:t xml:space="preserve">(</w:t>
            </w:r>
            <w:r>
              <w:t xml:space="preserve">m^2_{21}), (</w:t>
            </w:r>
            <w:r>
              <w:t xml:space="preserve">m^2_{3</w:t>
            </w:r>
            <w:r>
              <w:t xml:space="preserve">}), (</w:t>
            </w:r>
            <w:r>
              <w:rPr>
                <w:i/>
                <w:iCs/>
              </w:rPr>
              <w:t xml:space="preserve">{12}), (</w:t>
            </w:r>
            <w:r>
              <w:t xml:space="preserve">{23}), (</w:t>
            </w:r>
            <w:r>
              <w:rPr>
                <w:i/>
                <w:iCs/>
              </w:rPr>
              <w:t xml:space="preserve">{13}), (</w:t>
            </w:r>
            <w:r>
              <w:t xml:space="preserve">{</w:t>
            </w:r>
            <w:r>
              <w:t xml:space="preserve">})</w:t>
            </w:r>
          </w:p>
        </w:tc>
      </w:tr>
      <w:tr>
        <w:tc>
          <w:tcPr/>
          <w:p>
            <w:pPr>
              <w:pStyle w:val="Compact"/>
            </w:pPr>
            <w:r>
              <w:t xml:space="preserve">Grandeurs non directement fixées par oscillation</w:t>
            </w:r>
          </w:p>
        </w:tc>
        <w:tc>
          <w:tcPr/>
          <w:p>
            <w:pPr>
              <w:pStyle w:val="Compact"/>
            </w:pPr>
            <w:r>
              <w:t xml:space="preserve">masses absolues (m_1,m_2,m_3)</w:t>
            </w:r>
          </w:p>
        </w:tc>
      </w:tr>
      <w:tr>
        <w:tc>
          <w:tcPr/>
          <w:p>
            <w:pPr>
              <w:pStyle w:val="Compact"/>
            </w:pPr>
            <w:r>
              <w:t xml:space="preserve">Statut dans le SM minimal</w:t>
            </w:r>
          </w:p>
        </w:tc>
        <w:tc>
          <w:tcPr/>
          <w:p>
            <w:pPr>
              <w:pStyle w:val="Compact"/>
            </w:pPr>
            <w:r>
              <w:t xml:space="preserve">neutrinos sans masse</w:t>
            </w:r>
          </w:p>
        </w:tc>
      </w:tr>
      <w:tr>
        <w:tc>
          <w:tcPr/>
          <w:p>
            <w:pPr>
              <w:pStyle w:val="Compact"/>
            </w:pPr>
            <w:r>
              <w:t xml:space="preserve">Statut physique</w:t>
            </w:r>
          </w:p>
        </w:tc>
        <w:tc>
          <w:tcPr/>
          <w:p>
            <w:pPr>
              <w:pStyle w:val="Compact"/>
            </w:pPr>
            <w:r>
              <w:t xml:space="preserve">indication de physique au-delà du SM minimal</w:t>
            </w:r>
          </w:p>
        </w:tc>
      </w:tr>
      <w:tr>
        <w:tc>
          <w:tcPr/>
          <w:p>
            <w:pPr>
              <w:pStyle w:val="Compact"/>
            </w:pPr>
            <w:r>
              <w:t xml:space="preserve">Régime observable</w:t>
            </w:r>
          </w:p>
        </w:tc>
        <w:tc>
          <w:tcPr/>
          <w:p>
            <w:pPr>
              <w:pStyle w:val="Compact"/>
            </w:pPr>
            <w:r>
              <w:t xml:space="preserve">oscillations par propagation cohérente</w:t>
            </w:r>
          </w:p>
        </w:tc>
      </w:tr>
      <w:tr>
        <w:tc>
          <w:tcPr/>
          <w:p>
            <w:pPr>
              <w:pStyle w:val="Compact"/>
            </w:pPr>
            <w:r>
              <w:t xml:space="preserve">Objet central</w:t>
            </w:r>
          </w:p>
        </w:tc>
        <w:tc>
          <w:tcPr/>
          <w:p>
            <w:pPr>
              <w:pStyle w:val="Compact"/>
            </w:pPr>
            <w:r>
              <w:t xml:space="preserve">différence de phase entre états de masse</w:t>
            </w:r>
          </w:p>
        </w:tc>
      </w:tr>
      <w:tr>
        <w:tc>
          <w:tcPr/>
          <w:p>
            <w:pPr>
              <w:pStyle w:val="Compact"/>
            </w:pPr>
            <w:r>
              <w:t xml:space="preserve">Question ouverte</w:t>
            </w:r>
          </w:p>
        </w:tc>
        <w:tc>
          <w:tcPr/>
          <w:p>
            <w:pPr>
              <w:pStyle w:val="Compact"/>
            </w:pPr>
            <w:r>
              <w:t xml:space="preserve">ordre des masses, masse absolue, nature Dirac/Majorana, violation CP</w:t>
            </w:r>
          </w:p>
        </w:tc>
      </w:tr>
      <w:tr>
        <w:tc>
          <w:tcPr/>
          <w:p>
            <w:pPr>
              <w:pStyle w:val="Compact"/>
            </w:pPr>
            <w:r>
              <w:t xml:space="preserve">Type proposé</w:t>
            </w:r>
          </w:p>
        </w:tc>
        <w:tc>
          <w:tcPr/>
          <w:p>
            <w:pPr>
              <w:pStyle w:val="Compact"/>
            </w:pPr>
            <w:r>
              <w:t xml:space="preserve">constantes oscillatoires de mélange et de phase</w:t>
            </w:r>
          </w:p>
        </w:tc>
      </w:tr>
    </w:tbl>
    <w:bookmarkEnd w:id="27"/>
    <w:bookmarkStart w:id="28" w:name="catégorie-proposée"/>
    <w:p>
      <w:pPr>
        <w:pStyle w:val="Heading2"/>
      </w:pPr>
      <w:r>
        <w:t xml:space="preserve">8. Catégorie proposée</w:t>
      </w:r>
    </w:p>
    <w:p>
      <w:pPr>
        <w:pStyle w:val="FirstParagraph"/>
      </w:pPr>
      <w:r>
        <w:t xml:space="preserve">Le secteur neutrino introduit la catégorie de</w:t>
      </w:r>
      <w:r>
        <w:t xml:space="preserve"> </w:t>
      </w:r>
      <w:r>
        <w:rPr>
          <w:b/>
          <w:bCs/>
        </w:rPr>
        <w:t xml:space="preserve">constantes oscillatoires de mélange et de phase</w:t>
      </w:r>
      <w:r>
        <w:t xml:space="preserve">.</w:t>
      </w:r>
    </w:p>
    <w:p>
      <w:pPr>
        <w:pStyle w:val="BodyText"/>
      </w:pPr>
      <w:r>
        <w:t xml:space="preserve">Cette catégorie désigne des grandeurs dont la stabilité physique se manifeste dans des phénomènes d’interférence entre états de propagation. Elles ne sont pas simplement des masses ou des couplages. Elles organisent la relation entre base de saveur et base de masse, et se mesurent à travers des probabilités de transition dépendant de (L/E).</w:t>
      </w:r>
    </w:p>
    <w:p>
      <w:pPr>
        <w:pStyle w:val="BodyText"/>
      </w:pPr>
      <w:r>
        <w:t xml:space="preserve">Cette catégorie inclut :</w:t>
      </w:r>
    </w:p>
    <w:p>
      <w:pPr>
        <w:pStyle w:val="BodyText"/>
      </w:pPr>
      <w:r>
        <w:t xml:space="preserve">[</w:t>
      </w:r>
      <w:r>
        <w:t xml:space="preserve"> </w:t>
      </w:r>
      <w:r>
        <w:t xml:space="preserve">m</w:t>
      </w:r>
      <w:r>
        <w:rPr>
          <w:vertAlign w:val="superscript"/>
        </w:rPr>
        <w:t xml:space="preserve">2_{21},</w:t>
      </w:r>
      <w:r>
        <w:rPr>
          <w:vertAlign w:val="superscript"/>
        </w:rPr>
        <w:t xml:space="preserve">m</w:t>
      </w:r>
      <w:r>
        <w:t xml:space="preserve">2_{3</w:t>
      </w:r>
      <w:r>
        <w:t xml:space="preserve">}</w:t>
      </w:r>
      <w:r>
        <w:t xml:space="preserve"> </w:t>
      </w:r>
      <w:r>
        <w:t xml:space="preserve">]</w:t>
      </w:r>
    </w:p>
    <w:p>
      <w:pPr>
        <w:pStyle w:val="BodyText"/>
      </w:pPr>
      <w:r>
        <w:t xml:space="preserve">[</w:t>
      </w:r>
      <w:r>
        <w:t xml:space="preserve"> </w:t>
      </w:r>
      <w:r>
        <w:rPr>
          <w:i/>
          <w:iCs/>
        </w:rPr>
        <w:t xml:space="preserve">{12},</w:t>
      </w:r>
      <w:r>
        <w:t xml:space="preserve">{23},</w:t>
      </w:r>
      <w:r>
        <w:t xml:space="preserve">_{13}</w:t>
      </w:r>
      <w:r>
        <w:t xml:space="preserve"> </w:t>
      </w:r>
      <w:r>
        <w:t xml:space="preserve">]</w:t>
      </w:r>
    </w:p>
    <w:p>
      <w:pPr>
        <w:pStyle w:val="BodyText"/>
      </w:pPr>
      <w:r>
        <w:t xml:space="preserve">[</w:t>
      </w:r>
      <w:r>
        <w:t xml:space="preserve"> </w:t>
      </w:r>
      <w:r>
        <w:t xml:space="preserve">_{</w:t>
      </w:r>
      <w:r>
        <w:t xml:space="preserve">}</w:t>
      </w:r>
      <w:r>
        <w:t xml:space="preserve"> </w:t>
      </w:r>
      <w:r>
        <w:t xml:space="preserve">]</w:t>
      </w:r>
    </w:p>
    <w:p>
      <w:pPr>
        <w:pStyle w:val="BodyText"/>
      </w:pPr>
      <w:r>
        <w:t xml:space="preserve">mais avec des degrés de stabilisation différents. Les différences de masses au carré et deux des angles sont bien contraints ; (</w:t>
      </w:r>
      <w:r>
        <w:rPr>
          <w:i/>
          <w:iCs/>
        </w:rPr>
        <w:t xml:space="preserve">{23}), l’ordre des masses et (</w:t>
      </w:r>
      <w:r>
        <w:t xml:space="preserve">{</w:t>
      </w:r>
      <w:r>
        <w:t xml:space="preserve">}) restent plus ouverts.</w:t>
      </w:r>
    </w:p>
    <w:bookmarkEnd w:id="28"/>
    <w:bookmarkStart w:id="29" w:name="formulation-provisoire"/>
    <w:p>
      <w:pPr>
        <w:pStyle w:val="Heading2"/>
      </w:pPr>
      <w:r>
        <w:t xml:space="preserve">9. Formulation provisoire</w:t>
      </w:r>
    </w:p>
    <w:p>
      <w:pPr>
        <w:pStyle w:val="FirstParagraph"/>
      </w:pPr>
      <w:r>
        <w:t xml:space="preserve">Les grandeurs du secteur neutrino peuvent être comprises comme des constantes effectives stabilisées du régime oscillatoire. Leur constance ne se manifeste pas d’abord comme valeur absolue d’une masse, mais comme stabilité de relations de phase entre états de masse et états de saveur.</w:t>
      </w:r>
    </w:p>
    <w:p>
      <w:pPr>
        <w:pStyle w:val="BodyText"/>
      </w:pPr>
      <w:r>
        <w:t xml:space="preserve">La question pertinente devient donc :</w:t>
      </w:r>
    </w:p>
    <w:p>
      <w:pPr>
        <w:pStyle w:val="BodyText"/>
      </w:pPr>
      <w:r>
        <w:rPr>
          <w:b/>
          <w:bCs/>
        </w:rPr>
        <w:t xml:space="preserve">À quelles conditions les différences de masses au carré, les angles de mélange et la phase CP du secteur neutrino peuvent-ils être traités comme des constantes stabilisées, alors que les masses absolues, l’ordre des masses et la nature Dirac/Majorana restent ouverts ?</w:t>
      </w:r>
    </w:p>
    <w:bookmarkEnd w:id="29"/>
    <w:bookmarkStart w:id="30" w:name="fonction-dans-lenquête-générale"/>
    <w:p>
      <w:pPr>
        <w:pStyle w:val="Heading2"/>
      </w:pPr>
      <w:r>
        <w:t xml:space="preserve">10. Fonction dans l’enquête générale</w:t>
      </w:r>
    </w:p>
    <w:p>
      <w:pPr>
        <w:pStyle w:val="FirstParagraph"/>
      </w:pPr>
      <w:r>
        <w:t xml:space="preserve">Le secteur neutrino élargit la cartographie des régimes de constance. Il montre qu’une constante peut être liée non à une intensité, une échelle ou une masse isolée, mais à une structure oscillatoire : une relation stable entre états produits, états propagés et états détectés.</w:t>
      </w:r>
    </w:p>
    <w:p>
      <w:pPr>
        <w:pStyle w:val="BodyText"/>
      </w:pPr>
      <w:r>
        <w:t xml:space="preserve">Ce secteur impose une règle importante : certaines constantes physiques ne sont accessibles qu’indirectement, par des motifs de transition. Les neutrinos ne donnent pas d’abord une masse absolue ; ils donnent une architecture de différences, d’angles et de phases.</w:t>
      </w:r>
    </w:p>
    <w:p>
      <w:pPr>
        <w:pStyle w:val="BodyText"/>
      </w:pPr>
      <w:r>
        <w:t xml:space="preserve">Cette fiche ouvre donc un troisième cycle centré sur les constantes de mélange, de phase et de masse relative. Les prochaines fiches pourront traiter séparément :</w:t>
      </w:r>
    </w:p>
    <w:p>
      <w:pPr>
        <w:pStyle w:val="BodyText"/>
      </w:pPr>
      <w:r>
        <w:t xml:space="preserve">[</w:t>
      </w:r>
      <w:r>
        <w:t xml:space="preserve"> </w:t>
      </w:r>
      <w:r>
        <w:t xml:space="preserve">m^2</w:t>
      </w:r>
      <w:r>
        <w:t xml:space="preserve"> </w:t>
      </w:r>
      <w:r>
        <w:t xml:space="preserve">]</w:t>
      </w:r>
    </w:p>
    <w:p>
      <w:pPr>
        <w:pStyle w:val="BodyText"/>
      </w:pPr>
      <w:r>
        <w:t xml:space="preserve">comme constantes de phase oscillatoire,</w:t>
      </w:r>
    </w:p>
    <w:p>
      <w:pPr>
        <w:pStyle w:val="BodyText"/>
      </w:pPr>
      <w:r>
        <w:t xml:space="preserve">[</w:t>
      </w:r>
      <w:r>
        <w:t xml:space="preserve"> </w:t>
      </w:r>
      <w:r>
        <w:rPr>
          <w:i/>
          <w:iCs/>
        </w:rPr>
        <w:t xml:space="preserve">{12},</w:t>
      </w:r>
      <w:r>
        <w:t xml:space="preserve">{23},</w:t>
      </w:r>
      <w:r>
        <w:t xml:space="preserve">_{13}</w:t>
      </w:r>
      <w:r>
        <w:t xml:space="preserve"> </w:t>
      </w:r>
      <w:r>
        <w:t xml:space="preserve">]</w:t>
      </w:r>
    </w:p>
    <w:p>
      <w:pPr>
        <w:pStyle w:val="BodyText"/>
      </w:pPr>
      <w:r>
        <w:t xml:space="preserve">comme constantes de mélange leptonique,</w:t>
      </w:r>
    </w:p>
    <w:p>
      <w:pPr>
        <w:pStyle w:val="BodyText"/>
      </w:pPr>
      <w:r>
        <w:t xml:space="preserve">[</w:t>
      </w:r>
      <w:r>
        <w:t xml:space="preserve"> </w:t>
      </w:r>
      <w:r>
        <w:t xml:space="preserve">_{</w:t>
      </w:r>
      <w:r>
        <w:t xml:space="preserve">}</w:t>
      </w:r>
      <w:r>
        <w:t xml:space="preserve"> </w:t>
      </w:r>
      <w:r>
        <w:t xml:space="preserve">]</w:t>
      </w:r>
    </w:p>
    <w:p>
      <w:pPr>
        <w:pStyle w:val="BodyText"/>
      </w:pPr>
      <w:r>
        <w:t xml:space="preserve">comme phase de violation CP,</w:t>
      </w:r>
    </w:p>
    <w:p>
      <w:pPr>
        <w:pStyle w:val="BodyText"/>
      </w:pPr>
      <w:r>
        <w:t xml:space="preserve">et enfin la masse absolue (m_</w:t>
      </w:r>
      <w:r>
        <w:t xml:space="preserve">), avec les trois voies : cinématique, cosmologie et double bêta sans neutrino.</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2026-07-09T06:22:32Z</dcterms:created>
  <dcterms:modified xsi:type="dcterms:W3CDTF">2026-07-09T06:22:32Z</dcterms:modified>
</cp:coreProperties>
</file>

<file path=docProps/custom.xml><?xml version="1.0" encoding="utf-8"?>
<Properties xmlns="http://schemas.openxmlformats.org/officeDocument/2006/custom-properties" xmlns:vt="http://schemas.openxmlformats.org/officeDocument/2006/docPropsVTypes"/>
</file>