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09b709634132faef7ac685481b185c5dafbf4c"/>
    <w:p>
      <w:pPr>
        <w:pStyle w:val="1"/>
      </w:pPr>
      <w:r>
        <w:t xml:space="preserve">L_architecture_des_constantes_physiques_effectives_v2</w:t>
      </w:r>
    </w:p>
    <w:p>
      <w:r>
        <w:pict>
          <v:rect style="width:0;height:1.5pt" o:hralign="center" o:hrstd="t" o:hr="t"/>
        </w:pict>
      </w:r>
    </w:p>
    <w:bookmarkStart w:id="20" w:name="informations-sur-lentretien"/>
    <w:p>
      <w:pPr>
        <w:pStyle w:val="21"/>
      </w:pPr>
      <w:r>
        <w:t xml:space="preserve">Informations sur l’entretien</w:t>
      </w:r>
    </w:p>
    <w:p>
      <w:pPr>
        <w:pStyle w:val="Compact"/>
        <w:numPr>
          <w:ilvl w:val="0"/>
          <w:numId w:val="1001"/>
        </w:numPr>
      </w:pPr>
      <w:r>
        <w:t xml:space="preserve">Date et heure : 2026-07-10 07:01:31</w:t>
      </w:r>
    </w:p>
    <w:p>
      <w:pPr>
        <w:pStyle w:val="Compact"/>
        <w:numPr>
          <w:ilvl w:val="0"/>
          <w:numId w:val="1001"/>
        </w:numPr>
      </w:pPr>
      <w:r>
        <w:t xml:space="preserve">Lieu : [Insérer le lieu]</w:t>
      </w:r>
    </w:p>
    <w:p>
      <w:pPr>
        <w:pStyle w:val="Compact"/>
        <w:numPr>
          <w:ilvl w:val="0"/>
          <w:numId w:val="1001"/>
        </w:numPr>
      </w:pPr>
      <w:r>
        <w:t xml:space="preserve">Intervieweur : [Insérer le nom]</w:t>
      </w:r>
    </w:p>
    <w:p>
      <w:pPr>
        <w:pStyle w:val="Compact"/>
        <w:numPr>
          <w:ilvl w:val="0"/>
          <w:numId w:val="1001"/>
        </w:numPr>
      </w:pPr>
      <w:r>
        <w:t xml:space="preserve">Personne interviewée : [Insérer le nom]</w:t>
      </w:r>
    </w:p>
    <w:bookmarkEnd w:id="20"/>
    <w:bookmarkStart w:id="28" w:name="points-de-vue"/>
    <w:p>
      <w:pPr>
        <w:pStyle w:val="21"/>
      </w:pPr>
      <w:r>
        <w:t xml:space="preserve">Points de vue</w:t>
      </w:r>
    </w:p>
    <w:bookmarkStart w:id="21" w:name="Xf45a8c01c8d2df6b446bb487c35ac1d6b3fd46b"/>
    <w:p>
      <w:pPr>
        <w:pStyle w:val="3"/>
      </w:pPr>
      <w:r>
        <w:t xml:space="preserve">1. Délimitation conceptuelle entre fonctions transversales et architectures interfamilles - [Speaker 1] et [Speaker 2]</w:t>
      </w:r>
    </w:p>
    <w:p>
      <w:pPr>
        <w:numPr>
          <w:ilvl w:val="0"/>
          <w:numId w:val="1002"/>
        </w:numPr>
      </w:pPr>
      <w:r>
        <w:rPr>
          <w:b/>
          <w:bCs/>
        </w:rPr>
        <w:t xml:space="preserve">Une fonction transversale n’implique pas une architecture</w:t>
      </w:r>
    </w:p>
    <w:p>
      <w:pPr>
        <w:numPr>
          <w:ilvl w:val="0"/>
          <w:numId w:val="1000"/>
        </w:numPr>
      </w:pPr>
      <w:r>
        <w:t xml:space="preserve">Les intervenants précisent que les fonctions transversales (par exemple, hiérarchies d’échelles) agissent comme des modificateurs descriptifs d’une grandeur et ne créent pas de dépendances mutuelles. Ils critiquent le manuscrit pour avoir parfois confondu ces attributs avec des architectures interfamilles, qui exigent une interdépendance structurelle et causale entre grandeurs distinctes.</w:t>
      </w:r>
    </w:p>
    <w:p>
      <w:pPr>
        <w:numPr>
          <w:ilvl w:val="0"/>
          <w:numId w:val="1002"/>
        </w:numPr>
      </w:pPr>
      <w:r>
        <w:rPr>
          <w:b/>
          <w:bCs/>
        </w:rPr>
        <w:t xml:space="preserve">Nécessité d’une règle de démarcation causale stricte</w:t>
      </w:r>
    </w:p>
    <w:p>
      <w:pPr>
        <w:numPr>
          <w:ilvl w:val="0"/>
          <w:numId w:val="1000"/>
        </w:numPr>
      </w:pPr>
      <w:r>
        <w:t xml:space="preserve">Ils recommandent d’introduire une règle explicite de causalité afin de distinguer ce qui relève d’un “adjectif” (fonction transversale) de la “grammaire” (architecture). Sans cette règle, la taxonomie risque de valider des structures qui ne sont que des agencements de propriétés sans solidarité organique.</w:t>
      </w:r>
    </w:p>
    <w:bookmarkEnd w:id="21"/>
    <w:bookmarkStart w:id="22" w:name="Xad0788d2a9878788ff378997472407f69bc6fad"/>
    <w:p>
      <w:pPr>
        <w:pStyle w:val="3"/>
      </w:pPr>
      <w:r>
        <w:t xml:space="preserve">2. Exemple du boson W et de la constante de Fermi - [Speaker 1] et [Speaker 2]</w:t>
      </w:r>
    </w:p>
    <w:p>
      <w:pPr>
        <w:numPr>
          <w:ilvl w:val="0"/>
          <w:numId w:val="1003"/>
        </w:numPr>
      </w:pPr>
      <w:r>
        <w:rPr>
          <w:b/>
          <w:bCs/>
        </w:rPr>
        <w:t xml:space="preserve">Le seuil du W ne suffit pas : la solidarité organique crée l’architecture</w:t>
      </w:r>
    </w:p>
    <w:p>
      <w:pPr>
        <w:numPr>
          <w:ilvl w:val="0"/>
          <w:numId w:val="1000"/>
        </w:numPr>
      </w:pPr>
      <w:r>
        <w:t xml:space="preserve">Le manuscrit utilise la masse du boson W comme seuil hiérarchique. Les intervenants expliquent que l’architecture dite “effective basse énergie” existe parce que le seuil du W rend opératoire la constante de Fermi et structure simultanément le régime d’évolution du couplage fort. Retirer le W fait s’effondrer la validité physique de la constante de Fermi, montrant une dépendance causale mutuelle.</w:t>
      </w:r>
    </w:p>
    <w:p>
      <w:pPr>
        <w:numPr>
          <w:ilvl w:val="0"/>
          <w:numId w:val="1003"/>
        </w:numPr>
      </w:pPr>
      <w:r>
        <w:rPr>
          <w:b/>
          <w:bCs/>
        </w:rPr>
        <w:t xml:space="preserve">Comparer le seuil isolé à l’écosystème solidaire</w:t>
      </w:r>
    </w:p>
    <w:p>
      <w:pPr>
        <w:numPr>
          <w:ilvl w:val="0"/>
          <w:numId w:val="1000"/>
        </w:numPr>
      </w:pPr>
      <w:r>
        <w:t xml:space="preserve">Ils suggèrent d’opposer explicitement les rôles d’un seuil isolé (fonction transversale) et d’un écosystème d’interdépendances (architecture). L’auteur devrait mettre en avant que l’architecture est la “colle” qui lie W, Fermi et le couplage fort, plutôt que la juxtaposition de trois fonctions transversales.</w:t>
      </w:r>
    </w:p>
    <w:bookmarkEnd w:id="22"/>
    <w:bookmarkStart w:id="23" w:name="X913b8809b729f1e61a76ca92cf6af416facff40"/>
    <w:p>
      <w:pPr>
        <w:pStyle w:val="3"/>
      </w:pPr>
      <w:r>
        <w:t xml:space="preserve">3. Usage de la matrice de reconnaissance V1.2 : filtre rigoureux ou justification a posteriori ? - [Speaker 1] et [Speaker 2]</w:t>
      </w:r>
    </w:p>
    <w:p>
      <w:pPr>
        <w:numPr>
          <w:ilvl w:val="0"/>
          <w:numId w:val="1004"/>
        </w:numPr>
      </w:pPr>
      <w:r>
        <w:rPr>
          <w:b/>
          <w:bCs/>
        </w:rPr>
        <w:t xml:space="preserve">La matrice est parfois complaisante en cosmologie</w:t>
      </w:r>
    </w:p>
    <w:p>
      <w:pPr>
        <w:numPr>
          <w:ilvl w:val="0"/>
          <w:numId w:val="1000"/>
        </w:numPr>
      </w:pPr>
      <w:r>
        <w:t xml:space="preserve">Bien que la matrice V1.2 exige de nombreux critères (pluralité de familles, solidarité de fonctions, régime structurant, accès structurant, stabilisation située), son application à la cosmologie valide un ensemble hétéroclite (lambda, H0, conditions initiales, etc.). Les intervenants critiquent une validation “en bloc” qui dénature la matrice en outil de justification post hoc.</w:t>
      </w:r>
    </w:p>
    <w:p>
      <w:pPr>
        <w:numPr>
          <w:ilvl w:val="0"/>
          <w:numId w:val="1004"/>
        </w:numPr>
      </w:pPr>
      <w:r>
        <w:rPr>
          <w:b/>
          <w:bCs/>
        </w:rPr>
        <w:t xml:space="preserve">Transformer la matrice en stress test éliminatoire</w:t>
      </w:r>
    </w:p>
    <w:p>
      <w:pPr>
        <w:numPr>
          <w:ilvl w:val="0"/>
          <w:numId w:val="1000"/>
        </w:numPr>
      </w:pPr>
      <w:r>
        <w:t xml:space="preserve">Ils proposent d’utiliser la matrice de manière proactive pour déconstruire les architectures échouant au test de solidarité organique. La force méthodologique viendrait de la capacité à éclater une architecture trop gourmande en sous-architectures ou à la reclasser, plutôt que de la forcer à passer.</w:t>
      </w:r>
    </w:p>
    <w:bookmarkEnd w:id="23"/>
    <w:bookmarkStart w:id="24" w:name="X02ca14378d3bcdca0000fcc7432f2b2084e7937"/>
    <w:p>
      <w:pPr>
        <w:pStyle w:val="3"/>
      </w:pPr>
      <w:r>
        <w:t xml:space="preserve">4. Cosmologie : mélange primordial/tardif et absence de solidarité causale - [Speaker 1] et [Speaker 2]</w:t>
      </w:r>
    </w:p>
    <w:p>
      <w:pPr>
        <w:numPr>
          <w:ilvl w:val="0"/>
          <w:numId w:val="1005"/>
        </w:numPr>
      </w:pPr>
      <w:r>
        <w:rPr>
          <w:b/>
          <w:bCs/>
        </w:rPr>
        <w:t xml:space="preserve">Séparer architectures primordiale et tardive</w:t>
      </w:r>
    </w:p>
    <w:p>
      <w:pPr>
        <w:numPr>
          <w:ilvl w:val="0"/>
          <w:numId w:val="1000"/>
        </w:numPr>
      </w:pPr>
      <w:r>
        <w:t xml:space="preserve">Le regroupement des paramètres d’inflation (amplitude, indice spectral) avec l’équation d’état de l’énergie noire tardive manque de dépendance causale mutuelle. Les intervenants proposent de reconnaître deux architectures distinctes en cosmologie : une primordiale et une tardive/inférentielle, plutôt que d’invoquer une solidarité d’outil (accès simultané via Planck).</w:t>
      </w:r>
    </w:p>
    <w:p>
      <w:pPr>
        <w:numPr>
          <w:ilvl w:val="0"/>
          <w:numId w:val="1005"/>
        </w:numPr>
      </w:pPr>
      <w:r>
        <w:rPr>
          <w:b/>
          <w:bCs/>
        </w:rPr>
        <w:t xml:space="preserve">Critique de la “solidarité d’accès” confondue avec solidarité de fonction</w:t>
      </w:r>
    </w:p>
    <w:p>
      <w:pPr>
        <w:numPr>
          <w:ilvl w:val="0"/>
          <w:numId w:val="1000"/>
        </w:numPr>
      </w:pPr>
      <w:r>
        <w:t xml:space="preserve">L’accès expérimental conjoint (commodité instrumentale) ne doit pas être confondu avec une solidarité organique des grandeurs. La matrice doit refuser les assemblages hétérogènes qui n’exhibent pas d’interdépendance structurelle.</w:t>
      </w:r>
    </w:p>
    <w:bookmarkEnd w:id="24"/>
    <w:bookmarkStart w:id="25" w:name="Xe40a7933534add0bfbfaf54b442e96e851a92dc"/>
    <w:p>
      <w:pPr>
        <w:pStyle w:val="3"/>
      </w:pPr>
      <w:r>
        <w:t xml:space="preserve">5. Régime d’accès épistémique comme pilier et sa vulnérabilité - [Speaker 1] et [Speaker 2]</w:t>
      </w:r>
    </w:p>
    <w:p>
      <w:pPr>
        <w:numPr>
          <w:ilvl w:val="0"/>
          <w:numId w:val="1006"/>
        </w:numPr>
      </w:pPr>
      <w:r>
        <w:rPr>
          <w:b/>
          <w:bCs/>
        </w:rPr>
        <w:t xml:space="preserve">Intégrer la “robustesse de l’accès” comme critère explicite</w:t>
      </w:r>
    </w:p>
    <w:p>
      <w:pPr>
        <w:numPr>
          <w:ilvl w:val="0"/>
          <w:numId w:val="1000"/>
        </w:numPr>
      </w:pPr>
      <w:r>
        <w:t xml:space="preserve">Le manuscrit distingue bien régime physique et régime d’accès, mais omet d’évaluer la stabilité de ce dernier. Les intervenants suggèrent d’ajouter un critère de robustesse de l’accès pour chaque architecture, afin de transformer les tensions d’accès en test de résistance plutôt qu’en défaut accidentel.</w:t>
      </w:r>
    </w:p>
    <w:p>
      <w:pPr>
        <w:numPr>
          <w:ilvl w:val="0"/>
          <w:numId w:val="1006"/>
        </w:numPr>
      </w:pPr>
      <w:r>
        <w:rPr>
          <w:b/>
          <w:bCs/>
        </w:rPr>
        <w:t xml:space="preserve">Architecture de reconstruction : faire de la vulnérabilité une caractéristique</w:t>
      </w:r>
    </w:p>
    <w:p>
      <w:pPr>
        <w:numPr>
          <w:ilvl w:val="0"/>
          <w:numId w:val="1000"/>
        </w:numPr>
      </w:pPr>
      <w:r>
        <w:t xml:space="preserve">En cosmologie, les tensions (H0, S8) doivent être reconnues comme constitutives d’une architecture de reconstruction, dont la fonction est d’absorber et organiser des divergences expérimentales sans faire éclater le modèle. La taxonomie devrait classer les architectures par niveaux de robustesse, évolutifs avec les progrès expérimentaux.</w:t>
      </w:r>
    </w:p>
    <w:bookmarkEnd w:id="25"/>
    <w:bookmarkStart w:id="26" w:name="Xf216fdb8e6c77545e99a01c4a00f94837c716e2"/>
    <w:p>
      <w:pPr>
        <w:pStyle w:val="3"/>
      </w:pPr>
      <w:r>
        <w:t xml:space="preserve">6. Comparaison SI (métrologie) vs cosmologie : robustesse conventionnelle vs inférentielle - [Speaker 1] et [Speaker 2]</w:t>
      </w:r>
    </w:p>
    <w:p>
      <w:pPr>
        <w:numPr>
          <w:ilvl w:val="0"/>
          <w:numId w:val="1007"/>
        </w:numPr>
      </w:pPr>
      <w:r>
        <w:rPr>
          <w:b/>
          <w:bCs/>
        </w:rPr>
        <w:t xml:space="preserve">SI : robustesse d’accès absolue mais conventionnelle</w:t>
      </w:r>
    </w:p>
    <w:p>
      <w:pPr>
        <w:numPr>
          <w:ilvl w:val="0"/>
          <w:numId w:val="1000"/>
        </w:numPr>
      </w:pPr>
      <w:r>
        <w:t xml:space="preserve">La révision de 2019 du SI fige des constantes (Boltzmann, Avogadro), offrant une robustesse d’accès “blindée” par convention. Cette robustesse est artificielle mais exemplaire pour la dimension “accès”.</w:t>
      </w:r>
    </w:p>
    <w:p>
      <w:pPr>
        <w:numPr>
          <w:ilvl w:val="0"/>
          <w:numId w:val="1007"/>
        </w:numPr>
      </w:pPr>
      <w:r>
        <w:rPr>
          <w:b/>
          <w:bCs/>
        </w:rPr>
        <w:t xml:space="preserve">Cosmologie : accès intrinsèquement fragile et pourtant structurant</w:t>
      </w:r>
    </w:p>
    <w:p>
      <w:pPr>
        <w:numPr>
          <w:ilvl w:val="0"/>
          <w:numId w:val="1000"/>
        </w:numPr>
      </w:pPr>
      <w:r>
        <w:t xml:space="preserve">Des mesures fondées sur inférences croisées et données anciennes créent des tensions majeures (H0, S8). Plutôt que d’attendre de meilleurs télescopes, la méthode devrait intégrer cette fragilité comme attribut architectonique premier et la mesurer explicitement.</w:t>
      </w:r>
    </w:p>
    <w:bookmarkEnd w:id="26"/>
    <w:bookmarkStart w:id="27" w:name="X9ce3128375f87c87d57ffbc3c16ef45a8ac2c1f"/>
    <w:p>
      <w:pPr>
        <w:pStyle w:val="3"/>
      </w:pPr>
      <w:r>
        <w:t xml:space="preserve">7. Synthèse des leviers d’amélioration de la taxonomie - [Speaker 1] et [Speaker 2]</w:t>
      </w:r>
    </w:p>
    <w:p>
      <w:pPr>
        <w:numPr>
          <w:ilvl w:val="0"/>
          <w:numId w:val="1008"/>
        </w:numPr>
      </w:pPr>
      <w:r>
        <w:rPr>
          <w:b/>
          <w:bCs/>
        </w:rPr>
        <w:t xml:space="preserve">Trois axes clés pour renforcer la méthode</w:t>
      </w:r>
    </w:p>
    <w:p>
      <w:pPr>
        <w:pStyle w:val="Compact"/>
        <w:numPr>
          <w:ilvl w:val="1"/>
          <w:numId w:val="1009"/>
        </w:numPr>
      </w:pPr>
      <w:r>
        <w:t xml:space="preserve">Imposer une règle de causalité stricte pour séparer fonctions transversales et architectures. 2) Transformer la matrice V1.2 en filtre sans complaisance capable de déconstruire des assemblages hétérogènes (notamment en cosmologie). 3) Instituer l’évaluation systématique de la robustesse du régime d’accès, en assumant que certaines architectures sont de reconstruction et tolèrent des tensions élevées.</w:t>
      </w:r>
    </w:p>
    <w:p>
      <w:pPr>
        <w:numPr>
          <w:ilvl w:val="0"/>
          <w:numId w:val="1009"/>
        </w:numPr>
      </w:pPr>
      <w:r>
        <w:rPr>
          <w:b/>
          <w:bCs/>
        </w:rPr>
        <w:t xml:space="preserve">Résilience méthodologique et autorité épistémique</w:t>
      </w:r>
    </w:p>
    <w:p>
      <w:pPr>
        <w:numPr>
          <w:ilvl w:val="0"/>
          <w:numId w:val="1000"/>
        </w:numPr>
      </w:pPr>
      <w:r>
        <w:t xml:space="preserve">L’intégration de ces axes donnerait à la taxonomie une résilience face aux évolutions des données et lui conférerait une véritable autorité méthodologique, en rompant avec la validation a posteriori et la confusion entre adjectifs et grammaire.</w:t>
      </w:r>
    </w:p>
    <w:bookmarkEnd w:id="27"/>
    <w:bookmarkEnd w:id="28"/>
    <w:bookmarkStart w:id="29" w:name="conclusion"/>
    <w:p>
      <w:pPr>
        <w:pStyle w:val="21"/>
      </w:pPr>
      <w:r>
        <w:t xml:space="preserve">Conclusion</w:t>
      </w:r>
    </w:p>
    <w:p>
      <w:pPr>
        <w:pStyle w:val="FirstParagraph"/>
      </w:pPr>
      <w:r>
        <w:t xml:space="preserve">Les intervenants convergent vers une refonte méthodologique ciblée du manuscrit : clarifier la distinction causale entre fonctions transversales et architectures, utiliser la matrice V1.2 comme stress test éliminatoire plutôt que comme justification, et intégrer la robustesse du régime d’accès comme critère central. En cosmologie, cela implique de dissocier architectures primordiale et tardive et de reconnaître une architecture de reconstruction où les tensions expérimentales deviennent des traits définitoires. Ces améliorations renforceraient la taxonomie, sa cohérence interne et son autorité épistémologique.</w:t>
      </w:r>
    </w:p>
    <w:bookmarkEnd w:id="29"/>
    <w:bookmarkStart w:id="30" w:name="prochaines-dispositions"/>
    <w:p>
      <w:pPr>
        <w:pStyle w:val="21"/>
      </w:pPr>
      <w:r>
        <w:t xml:space="preserve">Prochaines dispositions</w:t>
      </w:r>
    </w:p>
    <w:p>
      <w:pPr>
        <w:pStyle w:val="Compact"/>
        <w:numPr>
          <w:ilvl w:val="0"/>
          <w:numId w:val="1010"/>
        </w:numPr>
      </w:pPr>
      <w:r>
        <w:t xml:space="preserve">☐</w:t>
      </w:r>
    </w:p>
    <w:p>
      <w:pPr>
        <w:pStyle w:val="Compact"/>
        <w:numPr>
          <w:ilvl w:val="1"/>
          <w:numId w:val="1011"/>
        </w:numPr>
      </w:pPr>
      <w:r>
        <w:t xml:space="preserve">Recevoir une version révisée du manuscrit intégrant la règle de causalité, l’usage éliminatoire de la matrice V1.2 et l’évaluation de la robustesse d’accès.</w:t>
      </w:r>
    </w:p>
    <w:p>
      <w:pPr>
        <w:pStyle w:val="Compact"/>
        <w:numPr>
          <w:ilvl w:val="0"/>
          <w:numId w:val="1011"/>
        </w:numPr>
      </w:pPr>
      <w:r>
        <w:t xml:space="preserve">☐</w:t>
      </w:r>
    </w:p>
    <w:p>
      <w:pPr>
        <w:pStyle w:val="Compact"/>
        <w:numPr>
          <w:ilvl w:val="1"/>
          <w:numId w:val="1012"/>
        </w:numPr>
      </w:pPr>
      <w:r>
        <w:t xml:space="preserve">Organiser une nouvelle séance d’analyse à la réception de la prochaine soumission pour approfondir la taxonomie et fixer les métriques de robustesse (seuils de décision, dépendance causale mutuelle).</w:t>
      </w:r>
    </w:p>
    <w:p>
      <w:pPr>
        <w:pStyle w:val="Compact"/>
        <w:numPr>
          <w:ilvl w:val="0"/>
          <w:numId w:val="1012"/>
        </w:numPr>
      </w:pPr>
      <w:r>
        <w:t xml:space="preserve">☐</w:t>
      </w:r>
    </w:p>
    <w:p>
      <w:pPr>
        <w:pStyle w:val="Compact"/>
        <w:numPr>
          <w:ilvl w:val="1"/>
          <w:numId w:val="1013"/>
        </w:numPr>
      </w:pPr>
      <w:r>
        <w:t xml:space="preserve">Proposer une étude de cas détaillée séparant architecture primordiale et architecture tardive/inférentielle en cosmologie, testée par la matrice V1.2.</w:t>
      </w:r>
    </w:p>
    <w:p>
      <w:pPr>
        <w:pStyle w:val="Compact"/>
        <w:numPr>
          <w:ilvl w:val="0"/>
          <w:numId w:val="1013"/>
        </w:numPr>
      </w:pPr>
      <w:r>
        <w:t xml:space="preserve">☐</w:t>
      </w:r>
    </w:p>
    <w:p>
      <w:pPr>
        <w:pStyle w:val="Compact"/>
        <w:numPr>
          <w:ilvl w:val="1"/>
          <w:numId w:val="1014"/>
        </w:numPr>
      </w:pPr>
      <w:r>
        <w:t xml:space="preserve">Définir un protocole pour reclasser ou éclater les architectures échouant au test de solidarité organique, afin d’éviter les validations “en bloc”.</w:t>
      </w:r>
    </w:p>
    <w:p>
      <w:pPr>
        <w:pStyle w:val="a8"/>
      </w:pPr>
      <w:r>
        <w:t xml:space="preserve">Suggestions de l’IA</w:t>
      </w:r>
      <w:r>
        <w:br/>
      </w:r>
      <w:r>
        <w:t xml:space="preserve">Sur la base de votre transcription d’enregistrement, certaines questions d’entretien (hors entretien d’embauche) peuvent être améliorées. Voici quelques suggestions de l’IA pour votre référence :</w:t>
      </w:r>
      <w:r>
        <w:br/>
      </w:r>
      <w:r>
        <w:t xml:space="preserve">Plusieurs questions sont formulées de manière générale et gagneraient à préciser l’objectif et la portée attendue, par exemple en demandant “quels critères de dépendance causale mutuelle valident une architecture interfamilles dans le cas du boson W et de la constante de Fermi ?” plutôt que “qu’est-ce qui manque ?”. Il serait aussi utile d’introduire des relances systématiques orientées vers la méthode (“comment la matrice V1.2 échouerait-elle concrètement ce cas, et que déconstruiriez-vous en premier ?”) afin d’obtenir des réponses opérationnelles. Enfin, lorsque vous évoquez des tensions (H0, S8), invitez l’intervenant à proposer des métriques de robustesse d’accès et des seuils de décision (“à partir de quelle divergence l’architecture doit être reclassée ?”) pour rendre les échanges plus actionnables.</w:t>
      </w:r>
    </w:p>
    <w:bookmarkEnd w:id="30"/>
    <w:bookmarkEnd w:id="3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2026-07-10T05:24:14Z</dcterms:created>
  <dcterms:modified xsi:type="dcterms:W3CDTF">2026-07-10T05:24:14Z</dcterms:modified>
</cp:coreProperties>
</file>

<file path=docProps/custom.xml><?xml version="1.0" encoding="utf-8"?>
<Properties xmlns="http://schemas.openxmlformats.org/officeDocument/2006/custom-properties" xmlns:vt="http://schemas.openxmlformats.org/officeDocument/2006/docPropsVTypes"/>
</file>