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0B1AE" w14:textId="1F721F48" w:rsidR="00940905" w:rsidRDefault="00940905">
      <w:r w:rsidRPr="00940905">
        <w:t xml:space="preserve">We examine the UCI Machine Learning Repository Epileptic Seizure Data Set (attached) and Python to develop PCA </w:t>
      </w:r>
      <w:proofErr w:type="gramStart"/>
      <w:r w:rsidRPr="00940905">
        <w:t>in order to</w:t>
      </w:r>
      <w:proofErr w:type="gramEnd"/>
      <w:r w:rsidRPr="00940905">
        <w:t xml:space="preserve"> show its usefulness. 11,500 instances and 178 features (X1 through X178) make up the data set. Every instance in the feature reflects a patient's brain activity measurements across a one-second interval, and every feature represents a distinct measurement point for an EEG equipment attached to the patient. If the measurements were taken during a seizure, the response variable (y) has a value of 1, and if not, it has a value of 2, 3, 4, or 5.</w:t>
      </w:r>
    </w:p>
    <w:p w14:paraId="07646C1D" w14:textId="77777777" w:rsidR="00940905" w:rsidRPr="00940905" w:rsidRDefault="00940905" w:rsidP="00940905">
      <w:pPr>
        <w:pStyle w:val="ListParagraph"/>
        <w:numPr>
          <w:ilvl w:val="0"/>
          <w:numId w:val="3"/>
        </w:numPr>
      </w:pPr>
      <w:proofErr w:type="gramStart"/>
      <w:r w:rsidRPr="00940905">
        <w:t>In order to</w:t>
      </w:r>
      <w:proofErr w:type="gramEnd"/>
      <w:r w:rsidRPr="00940905">
        <w:t xml:space="preserve"> forecast if each instance was recorded during a seizure, we will first break down the data set into its major components for this exercise. I will then utilize those components as input to a k-Nearest </w:t>
      </w:r>
      <w:proofErr w:type="spellStart"/>
      <w:r w:rsidRPr="00940905">
        <w:t>Neighbors</w:t>
      </w:r>
      <w:proofErr w:type="spellEnd"/>
      <w:r w:rsidRPr="00940905">
        <w:t xml:space="preserve"> (k-NN) method. In this </w:t>
      </w:r>
      <w:proofErr w:type="gramStart"/>
      <w:r w:rsidRPr="00940905">
        <w:t>particular scenario</w:t>
      </w:r>
      <w:proofErr w:type="gramEnd"/>
      <w:r w:rsidRPr="00940905">
        <w:t>, I will also attempt to ascertain the ideal number of principal components (PCs) to use using k-NN.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940905" w:rsidRPr="00940905" w14:paraId="19A07AC8" w14:textId="77777777" w:rsidTr="00940905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15" w:type="dxa"/>
              <w:right w:w="150" w:type="dxa"/>
            </w:tcMar>
            <w:hideMark/>
          </w:tcPr>
          <w:p w14:paraId="021924AC" w14:textId="65DF6DA5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90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r w:rsidRPr="0094090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mport</w:t>
            </w:r>
            <w:r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numpy</w:t>
            </w:r>
            <w:proofErr w:type="spellEnd"/>
            <w:r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94090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as</w:t>
            </w:r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np</w:t>
            </w:r>
          </w:p>
        </w:tc>
      </w:tr>
      <w:tr w:rsidR="00940905" w:rsidRPr="00940905" w14:paraId="061C75CC" w14:textId="77777777" w:rsidTr="0094090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930926" w14:textId="77777777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D2D403" w14:textId="77777777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90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pandas </w:t>
            </w:r>
            <w:r w:rsidRPr="0094090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as</w:t>
            </w:r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pd</w:t>
            </w:r>
          </w:p>
        </w:tc>
      </w:tr>
      <w:tr w:rsidR="00940905" w:rsidRPr="00940905" w14:paraId="272C5CC1" w14:textId="77777777" w:rsidTr="0094090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DFCC95" w14:textId="77777777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B82FD2" w14:textId="77777777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50F4DE7" w14:textId="77777777" w:rsidR="00940905" w:rsidRPr="00940905" w:rsidRDefault="00940905" w:rsidP="009409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40905" w:rsidRPr="00940905" w14:paraId="08A9D782" w14:textId="77777777" w:rsidTr="0094090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EF222D" w14:textId="77777777" w:rsidR="00940905" w:rsidRPr="00940905" w:rsidRDefault="00940905" w:rsidP="009409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FF1A89" w14:textId="77777777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90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Visualization</w:t>
            </w:r>
          </w:p>
        </w:tc>
      </w:tr>
      <w:tr w:rsidR="00940905" w:rsidRPr="00940905" w14:paraId="13E48845" w14:textId="77777777" w:rsidTr="0094090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BD529E" w14:textId="77777777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1760AC" w14:textId="77777777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90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matplotlib.pyplot</w:t>
            </w:r>
            <w:proofErr w:type="spellEnd"/>
            <w:proofErr w:type="gramEnd"/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94090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as</w:t>
            </w:r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plt</w:t>
            </w:r>
            <w:proofErr w:type="spellEnd"/>
          </w:p>
        </w:tc>
      </w:tr>
      <w:tr w:rsidR="00940905" w:rsidRPr="00940905" w14:paraId="07FBA494" w14:textId="77777777" w:rsidTr="0094090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4C741E" w14:textId="77777777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0F6D74" w14:textId="77777777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3E6CAB7" w14:textId="77777777" w:rsidR="00940905" w:rsidRPr="00940905" w:rsidRDefault="00940905" w:rsidP="009409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40905" w:rsidRPr="00940905" w14:paraId="0845EB11" w14:textId="77777777" w:rsidTr="0094090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E569ED" w14:textId="77777777" w:rsidR="00940905" w:rsidRPr="00940905" w:rsidRDefault="00940905" w:rsidP="009409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1D90BA" w14:textId="77777777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90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 xml:space="preserve"># Data processing, </w:t>
            </w:r>
            <w:proofErr w:type="spellStart"/>
            <w:r w:rsidRPr="0094090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modeling</w:t>
            </w:r>
            <w:proofErr w:type="spellEnd"/>
            <w:r w:rsidRPr="0094090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, and model evaluation</w:t>
            </w:r>
          </w:p>
        </w:tc>
      </w:tr>
      <w:tr w:rsidR="00940905" w:rsidRPr="00940905" w14:paraId="2CB59088" w14:textId="77777777" w:rsidTr="0094090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57A731" w14:textId="77777777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B5EF99" w14:textId="77777777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90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sklearn.preprocessing</w:t>
            </w:r>
            <w:proofErr w:type="spellEnd"/>
            <w:proofErr w:type="gramEnd"/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94090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940905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StandardScaler</w:t>
            </w:r>
            <w:proofErr w:type="spellEnd"/>
          </w:p>
        </w:tc>
      </w:tr>
      <w:tr w:rsidR="00940905" w:rsidRPr="00940905" w14:paraId="3A0844F2" w14:textId="77777777" w:rsidTr="0094090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7683FA" w14:textId="77777777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B1EE1A" w14:textId="77777777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90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sklearn.decomposition</w:t>
            </w:r>
            <w:proofErr w:type="spellEnd"/>
            <w:proofErr w:type="gramEnd"/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94090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940905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PCA</w:t>
            </w:r>
          </w:p>
        </w:tc>
      </w:tr>
      <w:tr w:rsidR="00940905" w:rsidRPr="00940905" w14:paraId="6A6FC867" w14:textId="77777777" w:rsidTr="0094090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49C829" w14:textId="77777777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90BB57" w14:textId="77777777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90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sklearn.neighbors</w:t>
            </w:r>
            <w:proofErr w:type="spellEnd"/>
            <w:proofErr w:type="gramEnd"/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94090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940905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KNeighborsClassifier</w:t>
            </w:r>
            <w:proofErr w:type="spellEnd"/>
          </w:p>
        </w:tc>
      </w:tr>
      <w:tr w:rsidR="00940905" w:rsidRPr="00940905" w14:paraId="58C96CA8" w14:textId="77777777" w:rsidTr="0094090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68026A" w14:textId="77777777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318508" w14:textId="77777777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90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sklearn.model</w:t>
            </w:r>
            <w:proofErr w:type="gramEnd"/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_selection</w:t>
            </w:r>
            <w:proofErr w:type="spellEnd"/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94090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train_test_split</w:t>
            </w:r>
            <w:proofErr w:type="spellEnd"/>
          </w:p>
        </w:tc>
      </w:tr>
      <w:tr w:rsidR="00940905" w:rsidRPr="00940905" w14:paraId="08A57477" w14:textId="77777777" w:rsidTr="0094090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5A4079" w14:textId="77777777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683AD3" w14:textId="1DC409BE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90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sklearn.metrics</w:t>
            </w:r>
            <w:proofErr w:type="spellEnd"/>
            <w:proofErr w:type="gramEnd"/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94090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f1_score, </w:t>
            </w:r>
            <w:proofErr w:type="spellStart"/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classification_report</w:t>
            </w:r>
            <w:proofErr w:type="spellEnd"/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C</w:t>
            </w:r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onfusion</w:t>
            </w:r>
            <w:r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M</w:t>
            </w:r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atrix</w:t>
            </w:r>
            <w:r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Display</w:t>
            </w:r>
            <w:proofErr w:type="spellEnd"/>
          </w:p>
        </w:tc>
      </w:tr>
      <w:tr w:rsidR="00940905" w:rsidRPr="00940905" w14:paraId="0C3BBB3C" w14:textId="77777777" w:rsidTr="0094090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71BB77" w14:textId="77777777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31B3F2" w14:textId="77777777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9D14473" w14:textId="77777777" w:rsidR="00940905" w:rsidRPr="00940905" w:rsidRDefault="00940905" w:rsidP="009409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40905" w:rsidRPr="00940905" w14:paraId="64D974C1" w14:textId="77777777" w:rsidTr="0094090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8A9CE6" w14:textId="77777777" w:rsidR="00940905" w:rsidRPr="00940905" w:rsidRDefault="00940905" w:rsidP="0094090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B214EB" w14:textId="77777777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90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# Randomization</w:t>
            </w:r>
          </w:p>
        </w:tc>
      </w:tr>
      <w:tr w:rsidR="00940905" w:rsidRPr="00940905" w14:paraId="48FFFB05" w14:textId="77777777" w:rsidTr="0094090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60F3D9" w14:textId="77777777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77763D" w14:textId="77777777" w:rsidR="00940905" w:rsidRPr="00940905" w:rsidRDefault="00940905" w:rsidP="0094090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4090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94090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random</w:t>
            </w:r>
          </w:p>
        </w:tc>
      </w:tr>
    </w:tbl>
    <w:p w14:paraId="056A8DFB" w14:textId="45AFECD4" w:rsidR="00940905" w:rsidRDefault="00940905" w:rsidP="00940905">
      <w:pPr>
        <w:pStyle w:val="ListParagraph"/>
        <w:numPr>
          <w:ilvl w:val="0"/>
          <w:numId w:val="2"/>
        </w:numPr>
      </w:pPr>
      <w:r>
        <w:t>Load the data</w:t>
      </w:r>
    </w:p>
    <w:p w14:paraId="46615329" w14:textId="64E89B14" w:rsidR="00940905" w:rsidRDefault="00940905">
      <w:r w:rsidRPr="00940905">
        <w:t xml:space="preserve">The data collection consists of 178 features </w:t>
      </w:r>
      <w:proofErr w:type="spellStart"/>
      <w:r w:rsidRPr="00940905">
        <w:t>labeled</w:t>
      </w:r>
      <w:proofErr w:type="spellEnd"/>
      <w:r w:rsidRPr="00940905">
        <w:t xml:space="preserve"> X1 through X178 (indicating EEG measurement points), one feature called "Unnamed" that appears to be an ID column, and a response variable called "y" that accepts integer values between 1 and 5.</w:t>
      </w:r>
    </w:p>
    <w:p w14:paraId="62BDAD3B" w14:textId="48B30A92" w:rsidR="00940905" w:rsidRDefault="00940905" w:rsidP="00940905">
      <w:r>
        <w:t>Drop the ‘Unnamed’ feature</w:t>
      </w:r>
    </w:p>
    <w:p w14:paraId="21ABA94C" w14:textId="77777777" w:rsidR="00940905" w:rsidRDefault="00940905" w:rsidP="00940905">
      <w:r>
        <w:t>Re-cast target variable ‘y’ as binary, where 1 represents a seizure event, and all other numbers are 0 (no seizure).</w:t>
      </w:r>
    </w:p>
    <w:p w14:paraId="65D9D14E" w14:textId="518A7B8F" w:rsidR="00940905" w:rsidRDefault="00940905" w:rsidP="00940905">
      <w:r>
        <w:t>Check for and fill any null or missing values.</w:t>
      </w:r>
    </w:p>
    <w:p w14:paraId="6E24CBE3" w14:textId="0436A1FC" w:rsidR="00940905" w:rsidRDefault="00940905" w:rsidP="00940905">
      <w:pPr>
        <w:pStyle w:val="ListParagraph"/>
        <w:numPr>
          <w:ilvl w:val="0"/>
          <w:numId w:val="2"/>
        </w:numPr>
      </w:pPr>
      <w:r>
        <w:lastRenderedPageBreak/>
        <w:t>It's crucial to normalize or standardize features before executing the PCA transformation since PCA aims to optimize the variance reflected in each subsequent main component. If not, a portion of the variation found by PCA might just be the result of the size of the individual variables.</w:t>
      </w:r>
    </w:p>
    <w:p w14:paraId="55DEA69C" w14:textId="263FD244" w:rsidR="00940905" w:rsidRDefault="00940905" w:rsidP="00940905">
      <w:pPr>
        <w:pStyle w:val="ListParagraph"/>
        <w:numPr>
          <w:ilvl w:val="0"/>
          <w:numId w:val="1"/>
        </w:numPr>
      </w:pPr>
      <w:r>
        <w:t xml:space="preserve">To standardize the data in this instance, </w:t>
      </w:r>
      <w:r>
        <w:t>we</w:t>
      </w:r>
      <w:r>
        <w:t xml:space="preserve"> employ </w:t>
      </w:r>
      <w:proofErr w:type="spellStart"/>
      <w:r>
        <w:t>StandardScaler</w:t>
      </w:r>
      <w:proofErr w:type="spellEnd"/>
      <w:r>
        <w:t xml:space="preserve"> from </w:t>
      </w:r>
      <w:proofErr w:type="spellStart"/>
      <w:r>
        <w:t>sklearn</w:t>
      </w:r>
      <w:proofErr w:type="spellEnd"/>
      <w:r>
        <w:t>.</w:t>
      </w:r>
    </w:p>
    <w:p w14:paraId="2F7EA890" w14:textId="768E8BA7" w:rsidR="00940905" w:rsidRDefault="00940905" w:rsidP="00940905">
      <w:pPr>
        <w:pStyle w:val="ListParagraph"/>
        <w:numPr>
          <w:ilvl w:val="0"/>
          <w:numId w:val="1"/>
        </w:numPr>
      </w:pPr>
      <w:r w:rsidRPr="00940905">
        <w:t xml:space="preserve">PCA can be used now that the data have been scaled suitably. Those who often use </w:t>
      </w:r>
      <w:proofErr w:type="spellStart"/>
      <w:r w:rsidRPr="00940905">
        <w:t>sklearn</w:t>
      </w:r>
      <w:proofErr w:type="spellEnd"/>
      <w:r w:rsidRPr="00940905">
        <w:t xml:space="preserve"> machine learning methods would recognize that we achieve this using </w:t>
      </w:r>
      <w:proofErr w:type="spellStart"/>
      <w:r w:rsidRPr="00940905">
        <w:t>sklearn's</w:t>
      </w:r>
      <w:proofErr w:type="spellEnd"/>
      <w:r w:rsidRPr="00940905">
        <w:t xml:space="preserve"> PCA. Since there can never be more primary components than the features in the original data set, we set </w:t>
      </w:r>
      <w:proofErr w:type="spellStart"/>
      <w:r w:rsidRPr="00940905">
        <w:t>n_components</w:t>
      </w:r>
      <w:proofErr w:type="spellEnd"/>
      <w:r w:rsidRPr="00940905">
        <w:t xml:space="preserve"> = 178 in this case.</w:t>
      </w:r>
    </w:p>
    <w:p w14:paraId="0412EB3E" w14:textId="5FDA955D" w:rsidR="00940905" w:rsidRDefault="00940905" w:rsidP="00940905">
      <w:pPr>
        <w:pStyle w:val="ListParagraph"/>
        <w:numPr>
          <w:ilvl w:val="0"/>
          <w:numId w:val="1"/>
        </w:numPr>
      </w:pPr>
      <w:r w:rsidRPr="00940905">
        <w:t xml:space="preserve">Now, let’s see how much of the variance in the data set can be explained by the principal components. To do this, we can make use of </w:t>
      </w:r>
      <w:proofErr w:type="gramStart"/>
      <w:r w:rsidRPr="00940905">
        <w:t>the</w:t>
      </w:r>
      <w:r>
        <w:t xml:space="preserve"> </w:t>
      </w:r>
      <w:r w:rsidRPr="00940905">
        <w:t>.</w:t>
      </w:r>
      <w:proofErr w:type="spellStart"/>
      <w:r w:rsidRPr="00940905">
        <w:t>explained</w:t>
      </w:r>
      <w:proofErr w:type="gramEnd"/>
      <w:r w:rsidRPr="00940905">
        <w:t>_variance_ratio</w:t>
      </w:r>
      <w:proofErr w:type="spellEnd"/>
      <w:r w:rsidRPr="00940905">
        <w:t xml:space="preserve"> attribute of the </w:t>
      </w:r>
      <w:proofErr w:type="spellStart"/>
      <w:r w:rsidRPr="00940905">
        <w:t>pca</w:t>
      </w:r>
      <w:proofErr w:type="spellEnd"/>
      <w:r w:rsidRPr="00940905">
        <w:t xml:space="preserve"> object.</w:t>
      </w:r>
      <w:r>
        <w:t xml:space="preserve"> </w:t>
      </w:r>
      <w:r w:rsidRPr="00940905">
        <w:t>From th</w:t>
      </w:r>
      <w:r>
        <w:t>e obtained</w:t>
      </w:r>
      <w:r w:rsidRPr="00940905">
        <w:t xml:space="preserve"> graph, we can see that virtually </w:t>
      </w:r>
      <w:proofErr w:type="gramStart"/>
      <w:r w:rsidRPr="00940905">
        <w:t>all of</w:t>
      </w:r>
      <w:proofErr w:type="gramEnd"/>
      <w:r w:rsidRPr="00940905">
        <w:t xml:space="preserve"> the variance in the data set can be explained by the first 50 principal components. That’s less than 1/3 of the original number of features!</w:t>
      </w:r>
    </w:p>
    <w:p w14:paraId="1B4C9664" w14:textId="77777777" w:rsidR="00940905" w:rsidRDefault="00940905" w:rsidP="00940905">
      <w:pPr>
        <w:pStyle w:val="ListParagraph"/>
        <w:numPr>
          <w:ilvl w:val="0"/>
          <w:numId w:val="1"/>
        </w:numPr>
      </w:pPr>
      <w:r>
        <w:t xml:space="preserve">The principal components (PCs) are then fed into a k-NN classifier as the X input. But as the number of features rises, k-NN rapidly succumbs to the curse of dimensionality, thus we are unsure exactly how many of these PCs to employ. We will therefore attempt to use a range of one to twenty PCs </w:t>
      </w:r>
      <w:proofErr w:type="gramStart"/>
      <w:r>
        <w:t>in order to</w:t>
      </w:r>
      <w:proofErr w:type="gramEnd"/>
      <w:r>
        <w:t xml:space="preserve"> observe the impact on categorization performance.</w:t>
      </w:r>
    </w:p>
    <w:p w14:paraId="6EE72B4B" w14:textId="789DACC1" w:rsidR="00940905" w:rsidRDefault="00940905" w:rsidP="00940905">
      <w:pPr>
        <w:pStyle w:val="ListParagraph"/>
        <w:numPr>
          <w:ilvl w:val="0"/>
          <w:numId w:val="1"/>
        </w:numPr>
      </w:pPr>
      <w:r>
        <w:t>To assess each k-NN classifier's efficacy</w:t>
      </w:r>
      <w:r>
        <w:t xml:space="preserve"> we</w:t>
      </w:r>
      <w:r>
        <w:t xml:space="preserve"> use the f1_score as the classification metric. When classes are roughly balanced, accuracy is more appropriate. However, the f_1 score is more resilient to class imbalance.</w:t>
      </w:r>
    </w:p>
    <w:p w14:paraId="7E8BED5E" w14:textId="63B64372" w:rsidR="00940905" w:rsidRDefault="00940905" w:rsidP="00940905">
      <w:pPr>
        <w:pStyle w:val="ListParagraph"/>
        <w:numPr>
          <w:ilvl w:val="0"/>
          <w:numId w:val="1"/>
        </w:numPr>
      </w:pPr>
      <w:r w:rsidRPr="00940905">
        <w:t>The best f1_score is achieved using the first four PCs — this seems to be the sweet spot for providing enough information for the k-NN algorithm while not overloading k-NN with extra features.</w:t>
      </w:r>
    </w:p>
    <w:p w14:paraId="42827DEA" w14:textId="712B2457" w:rsidR="00940905" w:rsidRDefault="00940905" w:rsidP="00940905">
      <w:pPr>
        <w:pStyle w:val="ListParagraph"/>
        <w:numPr>
          <w:ilvl w:val="0"/>
          <w:numId w:val="1"/>
        </w:numPr>
      </w:pPr>
      <w:r>
        <w:t>E</w:t>
      </w:r>
      <w:r w:rsidRPr="00940905">
        <w:t>xplore how the k-NN classifier with four PCs performs in a little more detail.</w:t>
      </w:r>
      <w:r>
        <w:t xml:space="preserve"> Calculate accuracy, f1 score, recall etc. Plot a confusion matrix.</w:t>
      </w:r>
    </w:p>
    <w:p w14:paraId="0526EC63" w14:textId="77777777" w:rsidR="00940905" w:rsidRDefault="00940905"/>
    <w:sectPr w:rsidR="00940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D1697"/>
    <w:multiLevelType w:val="hybridMultilevel"/>
    <w:tmpl w:val="99887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C40D1"/>
    <w:multiLevelType w:val="hybridMultilevel"/>
    <w:tmpl w:val="F11EC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07055"/>
    <w:multiLevelType w:val="hybridMultilevel"/>
    <w:tmpl w:val="9EE41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606371">
    <w:abstractNumId w:val="2"/>
  </w:num>
  <w:num w:numId="2" w16cid:durableId="646325772">
    <w:abstractNumId w:val="1"/>
  </w:num>
  <w:num w:numId="3" w16cid:durableId="74862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05"/>
    <w:rsid w:val="008E74BC"/>
    <w:rsid w:val="0094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78E6"/>
  <w15:chartTrackingRefBased/>
  <w15:docId w15:val="{F434D31E-9875-41EA-88B5-C7D6D5D2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9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9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9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9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9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409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409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40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9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9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9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DEBAJYOTI BISWAS</dc:creator>
  <cp:keywords/>
  <dc:description/>
  <cp:lastModifiedBy>DEBAJYOTI BISWAS</cp:lastModifiedBy>
  <cp:revision>1</cp:revision>
  <dcterms:created xsi:type="dcterms:W3CDTF">2024-08-12T03:29:00Z</dcterms:created>
  <dcterms:modified xsi:type="dcterms:W3CDTF">2024-08-12T03:39:00Z</dcterms:modified>
</cp:coreProperties>
</file>